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320" w:rsidRPr="004E7897" w:rsidRDefault="00C25320" w:rsidP="00453D96">
      <w:pPr>
        <w:spacing w:after="200" w:line="240" w:lineRule="auto"/>
        <w:jc w:val="both"/>
        <w:rPr>
          <w:rFonts w:ascii="Arial Narrow" w:eastAsia="Calibri" w:hAnsi="Arial Narrow" w:cs="Arial"/>
          <w:sz w:val="24"/>
          <w:szCs w:val="24"/>
          <w:lang w:val="es-ES"/>
        </w:rPr>
      </w:pPr>
      <w:bookmarkStart w:id="0" w:name="_GoBack"/>
      <w:bookmarkEnd w:id="0"/>
    </w:p>
    <w:p w:rsidR="00D51C02" w:rsidRPr="004E7897" w:rsidRDefault="00D51C02" w:rsidP="00453D96">
      <w:pPr>
        <w:spacing w:after="200" w:line="240" w:lineRule="auto"/>
        <w:jc w:val="both"/>
        <w:rPr>
          <w:rFonts w:ascii="Arial Narrow" w:eastAsia="Calibri" w:hAnsi="Arial Narrow" w:cs="Arial"/>
          <w:sz w:val="24"/>
          <w:szCs w:val="24"/>
          <w:lang w:val="es-ES"/>
        </w:rPr>
      </w:pPr>
      <w:r w:rsidRPr="004E7897">
        <w:rPr>
          <w:rFonts w:ascii="Arial Narrow" w:eastAsia="Calibri" w:hAnsi="Arial Narrow" w:cs="Arial"/>
          <w:sz w:val="24"/>
          <w:szCs w:val="24"/>
          <w:lang w:val="es-ES"/>
        </w:rPr>
        <w:t>Bogotá, D, C.</w:t>
      </w:r>
      <w:r w:rsidR="00A277E1" w:rsidRPr="004E7897">
        <w:rPr>
          <w:rFonts w:ascii="Arial Narrow" w:eastAsia="Calibri" w:hAnsi="Arial Narrow" w:cs="Arial"/>
          <w:sz w:val="24"/>
          <w:szCs w:val="24"/>
          <w:lang w:val="es-ES"/>
        </w:rPr>
        <w:t xml:space="preserve"> </w:t>
      </w:r>
      <w:r w:rsidR="006A6CD2">
        <w:rPr>
          <w:rFonts w:ascii="Arial Narrow" w:eastAsia="Calibri" w:hAnsi="Arial Narrow" w:cs="Arial"/>
          <w:sz w:val="24"/>
          <w:szCs w:val="24"/>
          <w:lang w:val="es-ES"/>
        </w:rPr>
        <w:t xml:space="preserve">09 de </w:t>
      </w:r>
      <w:r w:rsidR="00064EF2" w:rsidRPr="004E7897">
        <w:rPr>
          <w:rFonts w:ascii="Arial Narrow" w:eastAsia="Calibri" w:hAnsi="Arial Narrow" w:cs="Arial"/>
          <w:sz w:val="24"/>
          <w:szCs w:val="24"/>
          <w:lang w:val="es-ES"/>
        </w:rPr>
        <w:t xml:space="preserve">agosto </w:t>
      </w:r>
      <w:r w:rsidR="005865C9" w:rsidRPr="004E7897">
        <w:rPr>
          <w:rFonts w:ascii="Arial Narrow" w:eastAsia="Calibri" w:hAnsi="Arial Narrow" w:cs="Arial"/>
          <w:sz w:val="24"/>
          <w:szCs w:val="24"/>
          <w:lang w:val="es-ES"/>
        </w:rPr>
        <w:t>de 2017</w:t>
      </w:r>
    </w:p>
    <w:p w:rsidR="00833255" w:rsidRPr="004E7897" w:rsidRDefault="00833255" w:rsidP="00453D96">
      <w:pPr>
        <w:spacing w:after="200" w:line="240" w:lineRule="auto"/>
        <w:jc w:val="both"/>
        <w:rPr>
          <w:rFonts w:ascii="Arial Narrow" w:eastAsia="Calibri" w:hAnsi="Arial Narrow" w:cs="Arial"/>
          <w:sz w:val="24"/>
          <w:szCs w:val="24"/>
          <w:lang w:val="es-ES"/>
        </w:rPr>
      </w:pPr>
    </w:p>
    <w:p w:rsidR="0067625B" w:rsidRPr="004E7897" w:rsidRDefault="00D51C02" w:rsidP="00453D96">
      <w:pPr>
        <w:pStyle w:val="Sinespaciado"/>
        <w:rPr>
          <w:rFonts w:ascii="Arial Narrow" w:hAnsi="Arial Narrow" w:cs="Arial"/>
          <w:sz w:val="24"/>
          <w:szCs w:val="24"/>
        </w:rPr>
      </w:pPr>
      <w:r w:rsidRPr="004E7897">
        <w:rPr>
          <w:rFonts w:ascii="Arial Narrow" w:hAnsi="Arial Narrow" w:cs="Arial"/>
          <w:sz w:val="24"/>
          <w:szCs w:val="24"/>
        </w:rPr>
        <w:t>Doctor</w:t>
      </w:r>
    </w:p>
    <w:p w:rsidR="004E7897" w:rsidRDefault="004E7897" w:rsidP="00453D96">
      <w:pPr>
        <w:pStyle w:val="Sinespaciado"/>
        <w:rPr>
          <w:rFonts w:ascii="Arial Narrow" w:hAnsi="Arial Narrow" w:cs="Arial"/>
          <w:b/>
          <w:sz w:val="24"/>
          <w:szCs w:val="24"/>
        </w:rPr>
      </w:pPr>
      <w:r>
        <w:rPr>
          <w:rFonts w:ascii="Arial Narrow" w:hAnsi="Arial Narrow" w:cs="Arial"/>
          <w:b/>
          <w:sz w:val="24"/>
          <w:szCs w:val="24"/>
        </w:rPr>
        <w:t>CARLOS ARTURO CORREA MOJICA</w:t>
      </w:r>
    </w:p>
    <w:p w:rsidR="004E7897" w:rsidRDefault="004E7897" w:rsidP="00453D96">
      <w:pPr>
        <w:pStyle w:val="Sinespaciado"/>
        <w:rPr>
          <w:rFonts w:ascii="Arial Narrow" w:hAnsi="Arial Narrow" w:cs="Arial"/>
          <w:sz w:val="24"/>
          <w:szCs w:val="24"/>
        </w:rPr>
      </w:pPr>
      <w:r>
        <w:rPr>
          <w:rFonts w:ascii="Arial Narrow" w:hAnsi="Arial Narrow" w:cs="Arial"/>
          <w:sz w:val="24"/>
          <w:szCs w:val="24"/>
        </w:rPr>
        <w:t>Presidente</w:t>
      </w:r>
    </w:p>
    <w:p w:rsidR="006A6CD2" w:rsidRDefault="00833255" w:rsidP="00453D96">
      <w:pPr>
        <w:pStyle w:val="Sinespaciado"/>
        <w:rPr>
          <w:rFonts w:ascii="Arial Narrow" w:hAnsi="Arial Narrow" w:cs="Arial"/>
          <w:b/>
          <w:sz w:val="24"/>
          <w:szCs w:val="24"/>
        </w:rPr>
      </w:pPr>
      <w:r>
        <w:rPr>
          <w:rFonts w:ascii="Arial Narrow" w:hAnsi="Arial Narrow" w:cs="Arial"/>
          <w:b/>
          <w:sz w:val="24"/>
          <w:szCs w:val="24"/>
        </w:rPr>
        <w:t>Comisión</w:t>
      </w:r>
      <w:r w:rsidR="00442487">
        <w:rPr>
          <w:rFonts w:ascii="Arial Narrow" w:hAnsi="Arial Narrow" w:cs="Arial"/>
          <w:b/>
          <w:sz w:val="24"/>
          <w:szCs w:val="24"/>
        </w:rPr>
        <w:t xml:space="preserve"> P</w:t>
      </w:r>
      <w:r>
        <w:rPr>
          <w:rFonts w:ascii="Arial Narrow" w:hAnsi="Arial Narrow" w:cs="Arial"/>
          <w:b/>
          <w:sz w:val="24"/>
          <w:szCs w:val="24"/>
        </w:rPr>
        <w:t xml:space="preserve">rimera </w:t>
      </w:r>
    </w:p>
    <w:p w:rsidR="00064EF2" w:rsidRPr="004E7897" w:rsidRDefault="006A6CD2" w:rsidP="00453D96">
      <w:pPr>
        <w:pStyle w:val="Sinespaciado"/>
        <w:rPr>
          <w:rFonts w:ascii="Arial Narrow" w:hAnsi="Arial Narrow" w:cs="Arial"/>
          <w:b/>
          <w:sz w:val="24"/>
          <w:szCs w:val="24"/>
        </w:rPr>
      </w:pPr>
      <w:r>
        <w:rPr>
          <w:rFonts w:ascii="Arial Narrow" w:hAnsi="Arial Narrow" w:cs="Arial"/>
          <w:b/>
          <w:sz w:val="24"/>
          <w:szCs w:val="24"/>
        </w:rPr>
        <w:t xml:space="preserve">H. </w:t>
      </w:r>
      <w:r w:rsidR="00064EF2" w:rsidRPr="004E7897">
        <w:rPr>
          <w:rFonts w:ascii="Arial Narrow" w:hAnsi="Arial Narrow" w:cs="Arial"/>
          <w:b/>
          <w:sz w:val="24"/>
          <w:szCs w:val="24"/>
        </w:rPr>
        <w:t>Cámara de Representantes.</w:t>
      </w:r>
    </w:p>
    <w:p w:rsidR="00D51C02" w:rsidRPr="004E7897" w:rsidRDefault="00D51C02" w:rsidP="00453D96">
      <w:pPr>
        <w:pStyle w:val="Sinespaciado"/>
        <w:rPr>
          <w:rFonts w:ascii="Arial Narrow" w:hAnsi="Arial Narrow" w:cs="Arial"/>
          <w:sz w:val="24"/>
          <w:szCs w:val="24"/>
        </w:rPr>
      </w:pPr>
      <w:r w:rsidRPr="004E7897">
        <w:rPr>
          <w:rFonts w:ascii="Arial Narrow" w:hAnsi="Arial Narrow" w:cs="Arial"/>
          <w:sz w:val="24"/>
          <w:szCs w:val="24"/>
        </w:rPr>
        <w:t>Ciudad</w:t>
      </w:r>
      <w:r w:rsidR="005865C9" w:rsidRPr="004E7897">
        <w:rPr>
          <w:rFonts w:ascii="Arial Narrow" w:hAnsi="Arial Narrow" w:cs="Arial"/>
          <w:sz w:val="24"/>
          <w:szCs w:val="24"/>
        </w:rPr>
        <w:t>.</w:t>
      </w:r>
    </w:p>
    <w:p w:rsidR="00D51C02" w:rsidRPr="004E7897" w:rsidRDefault="00D51C02" w:rsidP="00453D96">
      <w:pPr>
        <w:spacing w:after="0" w:line="240" w:lineRule="auto"/>
        <w:jc w:val="both"/>
        <w:rPr>
          <w:rFonts w:ascii="Arial Narrow" w:eastAsia="Arial Unicode MS" w:hAnsi="Arial Narrow" w:cs="Arial"/>
          <w:sz w:val="24"/>
          <w:szCs w:val="24"/>
          <w:lang w:val="es-ES"/>
        </w:rPr>
      </w:pPr>
    </w:p>
    <w:p w:rsidR="00C25320" w:rsidRPr="004E7897" w:rsidRDefault="00C25320" w:rsidP="00453D96">
      <w:pPr>
        <w:spacing w:after="0" w:line="240" w:lineRule="auto"/>
        <w:jc w:val="both"/>
        <w:rPr>
          <w:rFonts w:ascii="Arial Narrow" w:eastAsia="Arial Unicode MS" w:hAnsi="Arial Narrow" w:cs="Arial"/>
          <w:sz w:val="24"/>
          <w:szCs w:val="24"/>
          <w:lang w:val="es-ES"/>
        </w:rPr>
      </w:pPr>
    </w:p>
    <w:p w:rsidR="005865C9" w:rsidRPr="004E7897" w:rsidRDefault="00D51C02" w:rsidP="005865C9">
      <w:pPr>
        <w:jc w:val="both"/>
        <w:rPr>
          <w:rFonts w:ascii="Arial Narrow" w:eastAsia="Arial Unicode MS" w:hAnsi="Arial Narrow" w:cs="Arial"/>
          <w:sz w:val="24"/>
          <w:szCs w:val="24"/>
          <w:lang w:val="es-ES"/>
        </w:rPr>
      </w:pPr>
      <w:r w:rsidRPr="004E7897">
        <w:rPr>
          <w:rFonts w:ascii="Arial Narrow" w:eastAsia="Times New Roman" w:hAnsi="Arial Narrow" w:cs="Arial"/>
          <w:b/>
          <w:sz w:val="24"/>
          <w:szCs w:val="24"/>
          <w:lang w:val="es-ES" w:eastAsia="es-ES"/>
        </w:rPr>
        <w:t>Ref.</w:t>
      </w:r>
      <w:r w:rsidRPr="004E7897">
        <w:rPr>
          <w:rFonts w:ascii="Arial Narrow" w:eastAsia="Times New Roman" w:hAnsi="Arial Narrow" w:cs="Arial"/>
          <w:sz w:val="24"/>
          <w:szCs w:val="24"/>
          <w:lang w:val="es-ES" w:eastAsia="es-ES"/>
        </w:rPr>
        <w:t>:</w:t>
      </w:r>
      <w:r w:rsidRPr="004E7897">
        <w:rPr>
          <w:rFonts w:ascii="Arial Narrow" w:eastAsia="Times New Roman" w:hAnsi="Arial Narrow" w:cs="Arial"/>
          <w:b/>
          <w:sz w:val="24"/>
          <w:szCs w:val="24"/>
          <w:lang w:val="es-ES" w:eastAsia="es-ES"/>
        </w:rPr>
        <w:tab/>
      </w:r>
      <w:r w:rsidRPr="004E7897">
        <w:rPr>
          <w:rFonts w:ascii="Arial Narrow" w:eastAsia="Times New Roman" w:hAnsi="Arial Narrow" w:cs="Arial"/>
          <w:sz w:val="24"/>
          <w:szCs w:val="24"/>
          <w:lang w:val="es-ES" w:eastAsia="es-ES"/>
        </w:rPr>
        <w:t>Informe de ponencia para</w:t>
      </w:r>
      <w:r w:rsidR="00300D82">
        <w:rPr>
          <w:rFonts w:ascii="Arial Narrow" w:eastAsia="Times New Roman" w:hAnsi="Arial Narrow" w:cs="Arial"/>
          <w:sz w:val="24"/>
          <w:szCs w:val="24"/>
          <w:lang w:val="es-ES" w:eastAsia="es-ES"/>
        </w:rPr>
        <w:t xml:space="preserve"> primer</w:t>
      </w:r>
      <w:r w:rsidR="00064EF2" w:rsidRPr="004E7897">
        <w:rPr>
          <w:rFonts w:ascii="Arial Narrow" w:eastAsia="Times New Roman" w:hAnsi="Arial Narrow" w:cs="Arial"/>
          <w:sz w:val="24"/>
          <w:szCs w:val="24"/>
          <w:lang w:val="es-ES" w:eastAsia="es-ES"/>
        </w:rPr>
        <w:t xml:space="preserve"> </w:t>
      </w:r>
      <w:r w:rsidRPr="004E7897">
        <w:rPr>
          <w:rFonts w:ascii="Arial Narrow" w:eastAsia="Times New Roman" w:hAnsi="Arial Narrow" w:cs="Arial"/>
          <w:sz w:val="24"/>
          <w:szCs w:val="24"/>
          <w:lang w:val="es-ES" w:eastAsia="es-ES"/>
        </w:rPr>
        <w:t>debate</w:t>
      </w:r>
      <w:r w:rsidR="00300D82">
        <w:rPr>
          <w:rFonts w:ascii="Arial Narrow" w:eastAsia="Times New Roman" w:hAnsi="Arial Narrow" w:cs="Arial"/>
          <w:sz w:val="24"/>
          <w:szCs w:val="24"/>
          <w:lang w:val="es-ES" w:eastAsia="es-ES"/>
        </w:rPr>
        <w:t xml:space="preserve"> en la Comisión Primera de la Cámara de Representantes </w:t>
      </w:r>
      <w:r w:rsidR="00300D82" w:rsidRPr="004E7897">
        <w:rPr>
          <w:rFonts w:ascii="Arial Narrow" w:eastAsia="Times New Roman" w:hAnsi="Arial Narrow" w:cs="Arial"/>
          <w:sz w:val="24"/>
          <w:szCs w:val="24"/>
          <w:lang w:val="es-ES" w:eastAsia="es-ES"/>
        </w:rPr>
        <w:t>del</w:t>
      </w:r>
      <w:r w:rsidR="001D5B27" w:rsidRPr="004E7897">
        <w:rPr>
          <w:rFonts w:ascii="Arial Narrow" w:eastAsia="Arial Unicode MS" w:hAnsi="Arial Narrow" w:cs="Arial"/>
          <w:sz w:val="24"/>
          <w:szCs w:val="24"/>
          <w:lang w:val="es-ES"/>
        </w:rPr>
        <w:t xml:space="preserve"> </w:t>
      </w:r>
      <w:r w:rsidR="005865C9" w:rsidRPr="004E7897">
        <w:rPr>
          <w:rFonts w:ascii="Arial Narrow" w:eastAsia="Arial Unicode MS" w:hAnsi="Arial Narrow" w:cs="Arial"/>
          <w:b/>
          <w:sz w:val="24"/>
          <w:szCs w:val="24"/>
          <w:lang w:val="es-ES"/>
        </w:rPr>
        <w:t>PR</w:t>
      </w:r>
      <w:r w:rsidR="004C7761">
        <w:rPr>
          <w:rFonts w:ascii="Arial Narrow" w:eastAsia="Arial Unicode MS" w:hAnsi="Arial Narrow" w:cs="Arial"/>
          <w:b/>
          <w:sz w:val="24"/>
          <w:szCs w:val="24"/>
          <w:lang w:val="es-ES"/>
        </w:rPr>
        <w:t xml:space="preserve">OYECTO DE LEY 87 DE 2016 SENADO; </w:t>
      </w:r>
      <w:r w:rsidR="004C7761" w:rsidRPr="004C7761">
        <w:rPr>
          <w:rFonts w:ascii="Arial Narrow" w:eastAsia="Arial Unicode MS" w:hAnsi="Arial Narrow" w:cs="Arial"/>
          <w:b/>
          <w:sz w:val="24"/>
          <w:szCs w:val="24"/>
          <w:lang w:val="es-ES"/>
        </w:rPr>
        <w:t>325</w:t>
      </w:r>
      <w:r w:rsidR="004C7761">
        <w:rPr>
          <w:rFonts w:ascii="Arial Narrow" w:eastAsia="Arial Unicode MS" w:hAnsi="Arial Narrow" w:cs="Arial"/>
          <w:b/>
          <w:sz w:val="24"/>
          <w:szCs w:val="24"/>
          <w:lang w:val="es-ES"/>
        </w:rPr>
        <w:t xml:space="preserve"> DE </w:t>
      </w:r>
      <w:r w:rsidR="004C7761" w:rsidRPr="004C7761">
        <w:rPr>
          <w:rFonts w:ascii="Arial Narrow" w:eastAsia="Arial Unicode MS" w:hAnsi="Arial Narrow" w:cs="Arial"/>
          <w:b/>
          <w:sz w:val="24"/>
          <w:szCs w:val="24"/>
          <w:lang w:val="es-ES"/>
        </w:rPr>
        <w:t>2017</w:t>
      </w:r>
      <w:r w:rsidR="004C7761">
        <w:rPr>
          <w:rFonts w:ascii="Arial Narrow" w:eastAsia="Arial Unicode MS" w:hAnsi="Arial Narrow" w:cs="Arial"/>
          <w:b/>
          <w:sz w:val="24"/>
          <w:szCs w:val="24"/>
          <w:lang w:val="es-ES"/>
        </w:rPr>
        <w:t xml:space="preserve"> </w:t>
      </w:r>
      <w:r w:rsidR="004C7761" w:rsidRPr="00DB6D4C">
        <w:rPr>
          <w:rFonts w:ascii="Arial Narrow" w:eastAsia="Arial Unicode MS" w:hAnsi="Arial Narrow" w:cs="Arial"/>
          <w:b/>
          <w:sz w:val="24"/>
          <w:szCs w:val="24"/>
          <w:lang w:val="es-ES"/>
        </w:rPr>
        <w:t>C</w:t>
      </w:r>
      <w:r w:rsidR="004C7761" w:rsidRPr="00DB6D4C">
        <w:rPr>
          <w:rFonts w:ascii="Arial Narrow" w:hAnsi="Arial Narrow"/>
          <w:b/>
          <w:sz w:val="24"/>
          <w:szCs w:val="24"/>
        </w:rPr>
        <w:t>AMARA</w:t>
      </w:r>
      <w:r w:rsidR="004C7761">
        <w:rPr>
          <w:rFonts w:ascii="Arial Narrow" w:hAnsi="Arial Narrow"/>
          <w:sz w:val="24"/>
          <w:szCs w:val="24"/>
        </w:rPr>
        <w:t xml:space="preserve"> </w:t>
      </w:r>
      <w:r w:rsidR="00DB6D4C">
        <w:rPr>
          <w:rFonts w:ascii="Arial Narrow" w:hAnsi="Arial Narrow"/>
          <w:sz w:val="24"/>
          <w:szCs w:val="24"/>
        </w:rPr>
        <w:t>“Por</w:t>
      </w:r>
      <w:r w:rsidR="005865C9" w:rsidRPr="004E7897">
        <w:rPr>
          <w:rFonts w:ascii="Arial Narrow" w:eastAsia="Arial Unicode MS" w:hAnsi="Arial Narrow" w:cs="Arial"/>
          <w:sz w:val="24"/>
          <w:szCs w:val="24"/>
          <w:lang w:val="es-ES"/>
        </w:rPr>
        <w:t xml:space="preserve"> medio de la cual se establece el régimen de inhabilidades a quienes hayan sido condenados por delitos sexuales cometidos contra menores, se crea el registro de inhabilidades </w:t>
      </w:r>
      <w:r w:rsidR="00DB6D4C">
        <w:rPr>
          <w:rFonts w:ascii="Arial Narrow" w:eastAsia="Arial Unicode MS" w:hAnsi="Arial Narrow" w:cs="Arial"/>
          <w:sz w:val="24"/>
          <w:szCs w:val="24"/>
          <w:lang w:val="es-ES"/>
        </w:rPr>
        <w:t xml:space="preserve">y se dictan otras disposiciones” </w:t>
      </w:r>
    </w:p>
    <w:p w:rsidR="005865C9" w:rsidRPr="004E7897" w:rsidRDefault="005865C9" w:rsidP="005865C9">
      <w:pPr>
        <w:jc w:val="both"/>
        <w:rPr>
          <w:rFonts w:ascii="Arial Narrow" w:eastAsia="Arial Unicode MS" w:hAnsi="Arial Narrow" w:cs="Arial"/>
          <w:sz w:val="24"/>
          <w:szCs w:val="24"/>
          <w:lang w:val="es-ES"/>
        </w:rPr>
      </w:pPr>
    </w:p>
    <w:p w:rsidR="00FD59E9" w:rsidRPr="004E7897" w:rsidRDefault="00D51C02" w:rsidP="00453D96">
      <w:pPr>
        <w:tabs>
          <w:tab w:val="right" w:pos="8504"/>
        </w:tabs>
        <w:spacing w:after="0" w:line="240" w:lineRule="auto"/>
        <w:jc w:val="both"/>
        <w:rPr>
          <w:rFonts w:ascii="Arial Narrow" w:eastAsia="Arial Unicode MS" w:hAnsi="Arial Narrow" w:cs="Arial"/>
          <w:sz w:val="24"/>
          <w:szCs w:val="24"/>
          <w:lang w:val="es-ES"/>
        </w:rPr>
      </w:pPr>
      <w:r w:rsidRPr="004E7897">
        <w:rPr>
          <w:rFonts w:ascii="Arial Narrow" w:eastAsia="Arial Unicode MS" w:hAnsi="Arial Narrow" w:cs="Arial"/>
          <w:sz w:val="24"/>
          <w:szCs w:val="24"/>
          <w:lang w:val="es-ES"/>
        </w:rPr>
        <w:t>Señor</w:t>
      </w:r>
      <w:r w:rsidR="004E7897">
        <w:rPr>
          <w:rFonts w:ascii="Arial Narrow" w:eastAsia="Arial Unicode MS" w:hAnsi="Arial Narrow" w:cs="Arial"/>
          <w:sz w:val="24"/>
          <w:szCs w:val="24"/>
          <w:lang w:val="es-ES"/>
        </w:rPr>
        <w:t xml:space="preserve"> presidente</w:t>
      </w:r>
      <w:r w:rsidR="005845D3" w:rsidRPr="004E7897">
        <w:rPr>
          <w:rFonts w:ascii="Arial Narrow" w:eastAsia="Arial Unicode MS" w:hAnsi="Arial Narrow" w:cs="Arial"/>
          <w:sz w:val="24"/>
          <w:szCs w:val="24"/>
          <w:lang w:val="es-ES"/>
        </w:rPr>
        <w:t>:</w:t>
      </w:r>
    </w:p>
    <w:p w:rsidR="00D51C02" w:rsidRPr="004E7897" w:rsidRDefault="00D51C02" w:rsidP="00453D96">
      <w:pPr>
        <w:tabs>
          <w:tab w:val="right" w:pos="8504"/>
        </w:tabs>
        <w:spacing w:after="0" w:line="240" w:lineRule="auto"/>
        <w:jc w:val="both"/>
        <w:rPr>
          <w:rFonts w:ascii="Arial Narrow" w:eastAsia="Arial Unicode MS" w:hAnsi="Arial Narrow" w:cs="Arial"/>
          <w:sz w:val="24"/>
          <w:szCs w:val="24"/>
          <w:lang w:val="es-ES"/>
        </w:rPr>
      </w:pPr>
      <w:r w:rsidRPr="004E7897">
        <w:rPr>
          <w:rFonts w:ascii="Arial Narrow" w:eastAsia="Arial Unicode MS" w:hAnsi="Arial Narrow" w:cs="Arial"/>
          <w:sz w:val="24"/>
          <w:szCs w:val="24"/>
          <w:lang w:val="es-ES"/>
        </w:rPr>
        <w:tab/>
      </w:r>
    </w:p>
    <w:p w:rsidR="005865C9" w:rsidRPr="004E7897" w:rsidRDefault="00D51C02" w:rsidP="005865C9">
      <w:pPr>
        <w:jc w:val="both"/>
        <w:rPr>
          <w:rFonts w:ascii="Arial Narrow" w:eastAsia="Arial Unicode MS" w:hAnsi="Arial Narrow" w:cs="Arial"/>
          <w:sz w:val="24"/>
          <w:szCs w:val="24"/>
          <w:lang w:val="es-ES"/>
        </w:rPr>
      </w:pPr>
      <w:r w:rsidRPr="004E7897">
        <w:rPr>
          <w:rFonts w:ascii="Arial Narrow" w:eastAsia="Arial Unicode MS" w:hAnsi="Arial Narrow" w:cs="Arial"/>
          <w:sz w:val="24"/>
          <w:szCs w:val="24"/>
          <w:lang w:val="es-ES"/>
        </w:rPr>
        <w:t xml:space="preserve">En cumplimiento de lo dispuesto por la Ley 5ª de 1992 y respondiendo a la designación hecha por la Mesa Directiva como ponentes </w:t>
      </w:r>
      <w:r w:rsidR="009243BA" w:rsidRPr="004E7897">
        <w:rPr>
          <w:rFonts w:ascii="Arial Narrow" w:eastAsia="Arial Unicode MS" w:hAnsi="Arial Narrow" w:cs="Arial"/>
          <w:sz w:val="24"/>
          <w:szCs w:val="24"/>
          <w:lang w:val="es-ES"/>
        </w:rPr>
        <w:t xml:space="preserve">coordinador </w:t>
      </w:r>
      <w:r w:rsidRPr="004E7897">
        <w:rPr>
          <w:rFonts w:ascii="Arial Narrow" w:eastAsia="Arial Unicode MS" w:hAnsi="Arial Narrow" w:cs="Arial"/>
          <w:sz w:val="24"/>
          <w:szCs w:val="24"/>
          <w:lang w:val="es-ES"/>
        </w:rPr>
        <w:t xml:space="preserve">de esta iniciativa, me permito rendir informe de ponencia </w:t>
      </w:r>
      <w:r w:rsidR="00300D82" w:rsidRPr="004E7897">
        <w:rPr>
          <w:rFonts w:ascii="Arial Narrow" w:eastAsia="Times New Roman" w:hAnsi="Arial Narrow" w:cs="Arial"/>
          <w:sz w:val="24"/>
          <w:szCs w:val="24"/>
          <w:lang w:val="es-ES" w:eastAsia="es-ES"/>
        </w:rPr>
        <w:t>para</w:t>
      </w:r>
      <w:r w:rsidR="00300D82">
        <w:rPr>
          <w:rFonts w:ascii="Arial Narrow" w:eastAsia="Times New Roman" w:hAnsi="Arial Narrow" w:cs="Arial"/>
          <w:sz w:val="24"/>
          <w:szCs w:val="24"/>
          <w:lang w:val="es-ES" w:eastAsia="es-ES"/>
        </w:rPr>
        <w:t xml:space="preserve"> primer</w:t>
      </w:r>
      <w:r w:rsidR="00300D82" w:rsidRPr="004E7897">
        <w:rPr>
          <w:rFonts w:ascii="Arial Narrow" w:eastAsia="Times New Roman" w:hAnsi="Arial Narrow" w:cs="Arial"/>
          <w:sz w:val="24"/>
          <w:szCs w:val="24"/>
          <w:lang w:val="es-ES" w:eastAsia="es-ES"/>
        </w:rPr>
        <w:t xml:space="preserve"> debate</w:t>
      </w:r>
      <w:r w:rsidR="00300D82">
        <w:rPr>
          <w:rFonts w:ascii="Arial Narrow" w:eastAsia="Times New Roman" w:hAnsi="Arial Narrow" w:cs="Arial"/>
          <w:sz w:val="24"/>
          <w:szCs w:val="24"/>
          <w:lang w:val="es-ES" w:eastAsia="es-ES"/>
        </w:rPr>
        <w:t xml:space="preserve"> en la Comisión Primera de la Cámara de Representantes </w:t>
      </w:r>
      <w:r w:rsidR="005D0D8D" w:rsidRPr="004E7897">
        <w:rPr>
          <w:rFonts w:ascii="Arial Narrow" w:eastAsia="Arial Unicode MS" w:hAnsi="Arial Narrow" w:cs="Arial"/>
          <w:b/>
          <w:sz w:val="24"/>
          <w:szCs w:val="24"/>
          <w:lang w:val="es-ES"/>
        </w:rPr>
        <w:t>PR</w:t>
      </w:r>
      <w:r w:rsidR="005D0D8D">
        <w:rPr>
          <w:rFonts w:ascii="Arial Narrow" w:eastAsia="Arial Unicode MS" w:hAnsi="Arial Narrow" w:cs="Arial"/>
          <w:b/>
          <w:sz w:val="24"/>
          <w:szCs w:val="24"/>
          <w:lang w:val="es-ES"/>
        </w:rPr>
        <w:t xml:space="preserve">OYECTO DE LEY 87 DE 2016 SENADO; </w:t>
      </w:r>
      <w:r w:rsidR="005D0D8D" w:rsidRPr="004C7761">
        <w:rPr>
          <w:rFonts w:ascii="Arial Narrow" w:eastAsia="Arial Unicode MS" w:hAnsi="Arial Narrow" w:cs="Arial"/>
          <w:b/>
          <w:sz w:val="24"/>
          <w:szCs w:val="24"/>
          <w:lang w:val="es-ES"/>
        </w:rPr>
        <w:t>325</w:t>
      </w:r>
      <w:r w:rsidR="005D0D8D">
        <w:rPr>
          <w:rFonts w:ascii="Arial Narrow" w:eastAsia="Arial Unicode MS" w:hAnsi="Arial Narrow" w:cs="Arial"/>
          <w:b/>
          <w:sz w:val="24"/>
          <w:szCs w:val="24"/>
          <w:lang w:val="es-ES"/>
        </w:rPr>
        <w:t xml:space="preserve"> DE </w:t>
      </w:r>
      <w:r w:rsidR="005D0D8D" w:rsidRPr="004C7761">
        <w:rPr>
          <w:rFonts w:ascii="Arial Narrow" w:eastAsia="Arial Unicode MS" w:hAnsi="Arial Narrow" w:cs="Arial"/>
          <w:b/>
          <w:sz w:val="24"/>
          <w:szCs w:val="24"/>
          <w:lang w:val="es-ES"/>
        </w:rPr>
        <w:t>2017</w:t>
      </w:r>
      <w:r w:rsidR="005D0D8D">
        <w:rPr>
          <w:rFonts w:ascii="Arial Narrow" w:eastAsia="Arial Unicode MS" w:hAnsi="Arial Narrow" w:cs="Arial"/>
          <w:b/>
          <w:sz w:val="24"/>
          <w:szCs w:val="24"/>
          <w:lang w:val="es-ES"/>
        </w:rPr>
        <w:t xml:space="preserve"> </w:t>
      </w:r>
      <w:r w:rsidR="005D0D8D" w:rsidRPr="00DB6D4C">
        <w:rPr>
          <w:rFonts w:ascii="Arial Narrow" w:eastAsia="Arial Unicode MS" w:hAnsi="Arial Narrow" w:cs="Arial"/>
          <w:b/>
          <w:sz w:val="24"/>
          <w:szCs w:val="24"/>
          <w:lang w:val="es-ES"/>
        </w:rPr>
        <w:t>C</w:t>
      </w:r>
      <w:r w:rsidR="005D0D8D" w:rsidRPr="00DB6D4C">
        <w:rPr>
          <w:rFonts w:ascii="Arial Narrow" w:hAnsi="Arial Narrow"/>
          <w:b/>
          <w:sz w:val="24"/>
          <w:szCs w:val="24"/>
        </w:rPr>
        <w:t>AMARA</w:t>
      </w:r>
      <w:r w:rsidR="005D0D8D">
        <w:rPr>
          <w:rFonts w:ascii="Arial Narrow" w:hAnsi="Arial Narrow"/>
          <w:sz w:val="24"/>
          <w:szCs w:val="24"/>
        </w:rPr>
        <w:t xml:space="preserve"> </w:t>
      </w:r>
      <w:r w:rsidR="004E7897">
        <w:rPr>
          <w:rFonts w:ascii="Arial Narrow" w:eastAsia="Arial Unicode MS" w:hAnsi="Arial Narrow" w:cs="Arial"/>
          <w:b/>
          <w:sz w:val="24"/>
          <w:szCs w:val="24"/>
          <w:lang w:val="es-ES"/>
        </w:rPr>
        <w:t>“</w:t>
      </w:r>
      <w:r w:rsidR="005865C9" w:rsidRPr="004E7897">
        <w:rPr>
          <w:rFonts w:ascii="Arial Narrow" w:eastAsia="Arial Unicode MS" w:hAnsi="Arial Narrow" w:cs="Arial"/>
          <w:sz w:val="24"/>
          <w:szCs w:val="24"/>
          <w:lang w:val="es-ES"/>
        </w:rPr>
        <w:t xml:space="preserve">Por medio de la cual se establece el régimen de inhabilidades a quienes hayan sido condenados por delitos sexuales cometidos contra menores, se crea el registro de inhabilidades </w:t>
      </w:r>
      <w:r w:rsidR="004E7897">
        <w:rPr>
          <w:rFonts w:ascii="Arial Narrow" w:eastAsia="Arial Unicode MS" w:hAnsi="Arial Narrow" w:cs="Arial"/>
          <w:sz w:val="24"/>
          <w:szCs w:val="24"/>
          <w:lang w:val="es-ES"/>
        </w:rPr>
        <w:t xml:space="preserve">y se dictan otras disposiciones” </w:t>
      </w:r>
    </w:p>
    <w:p w:rsidR="009243BA" w:rsidRPr="004E7897" w:rsidRDefault="009243BA" w:rsidP="00453D96">
      <w:pPr>
        <w:spacing w:line="240" w:lineRule="auto"/>
        <w:jc w:val="both"/>
        <w:rPr>
          <w:rFonts w:ascii="Arial Narrow" w:eastAsia="Times New Roman" w:hAnsi="Arial Narrow" w:cs="Arial"/>
          <w:sz w:val="24"/>
          <w:szCs w:val="24"/>
          <w:lang w:val="es-ES_tradnl" w:eastAsia="es-ES"/>
        </w:rPr>
      </w:pPr>
    </w:p>
    <w:p w:rsidR="00D51C02" w:rsidRPr="004E7897" w:rsidRDefault="00D51C02" w:rsidP="001D5B27">
      <w:pPr>
        <w:tabs>
          <w:tab w:val="left" w:pos="2860"/>
        </w:tabs>
        <w:spacing w:after="200" w:line="240" w:lineRule="auto"/>
        <w:ind w:left="2860" w:hanging="2860"/>
        <w:jc w:val="both"/>
        <w:rPr>
          <w:rFonts w:ascii="Arial Narrow" w:eastAsia="Calibri" w:hAnsi="Arial Narrow" w:cs="Arial"/>
          <w:sz w:val="24"/>
          <w:szCs w:val="24"/>
          <w:lang w:val="es-ES_tradnl"/>
        </w:rPr>
      </w:pPr>
      <w:r w:rsidRPr="004E7897">
        <w:rPr>
          <w:rFonts w:ascii="Arial Narrow" w:eastAsia="Calibri" w:hAnsi="Arial Narrow" w:cs="Arial"/>
          <w:sz w:val="24"/>
          <w:szCs w:val="24"/>
          <w:lang w:val="es-ES_tradnl"/>
        </w:rPr>
        <w:t>La presente ponencia se desarrollará de la siguiente manera:</w:t>
      </w:r>
    </w:p>
    <w:p w:rsidR="00D51C02" w:rsidRPr="004E7897" w:rsidRDefault="00D51C02" w:rsidP="00453D96">
      <w:pPr>
        <w:numPr>
          <w:ilvl w:val="0"/>
          <w:numId w:val="2"/>
        </w:numPr>
        <w:tabs>
          <w:tab w:val="left" w:pos="2860"/>
        </w:tabs>
        <w:spacing w:after="200" w:line="240" w:lineRule="auto"/>
        <w:contextualSpacing/>
        <w:jc w:val="both"/>
        <w:rPr>
          <w:rFonts w:ascii="Arial Narrow" w:eastAsia="Calibri" w:hAnsi="Arial Narrow" w:cs="Arial"/>
          <w:sz w:val="24"/>
          <w:szCs w:val="24"/>
          <w:lang w:val="es-ES_tradnl"/>
        </w:rPr>
      </w:pPr>
      <w:r w:rsidRPr="004E7897">
        <w:rPr>
          <w:rFonts w:ascii="Arial Narrow" w:eastAsia="Calibri" w:hAnsi="Arial Narrow" w:cs="Arial"/>
          <w:sz w:val="24"/>
          <w:szCs w:val="24"/>
          <w:lang w:val="es-ES_tradnl"/>
        </w:rPr>
        <w:t>Antecedentes.</w:t>
      </w:r>
    </w:p>
    <w:p w:rsidR="00D51C02" w:rsidRPr="004E7897" w:rsidRDefault="00D51C02" w:rsidP="00453D96">
      <w:pPr>
        <w:numPr>
          <w:ilvl w:val="0"/>
          <w:numId w:val="2"/>
        </w:numPr>
        <w:tabs>
          <w:tab w:val="left" w:pos="2860"/>
        </w:tabs>
        <w:spacing w:after="200" w:line="240" w:lineRule="auto"/>
        <w:contextualSpacing/>
        <w:jc w:val="both"/>
        <w:rPr>
          <w:rFonts w:ascii="Arial Narrow" w:eastAsia="Calibri" w:hAnsi="Arial Narrow" w:cs="Arial"/>
          <w:sz w:val="24"/>
          <w:szCs w:val="24"/>
          <w:lang w:val="es-ES_tradnl"/>
        </w:rPr>
      </w:pPr>
      <w:r w:rsidRPr="004E7897">
        <w:rPr>
          <w:rFonts w:ascii="Arial Narrow" w:eastAsia="Calibri" w:hAnsi="Arial Narrow" w:cs="Arial"/>
          <w:sz w:val="24"/>
          <w:szCs w:val="24"/>
          <w:lang w:val="es-ES_tradnl"/>
        </w:rPr>
        <w:t>Objeto y Justificación del proyecto.</w:t>
      </w:r>
    </w:p>
    <w:p w:rsidR="00D51C02" w:rsidRPr="004E7897" w:rsidRDefault="00D51C02" w:rsidP="00453D96">
      <w:pPr>
        <w:numPr>
          <w:ilvl w:val="0"/>
          <w:numId w:val="2"/>
        </w:numPr>
        <w:tabs>
          <w:tab w:val="left" w:pos="2860"/>
        </w:tabs>
        <w:spacing w:after="200" w:line="240" w:lineRule="auto"/>
        <w:contextualSpacing/>
        <w:jc w:val="both"/>
        <w:rPr>
          <w:rFonts w:ascii="Arial Narrow" w:eastAsia="Calibri" w:hAnsi="Arial Narrow" w:cs="Arial"/>
          <w:sz w:val="24"/>
          <w:szCs w:val="24"/>
          <w:lang w:val="es-ES_tradnl"/>
        </w:rPr>
      </w:pPr>
      <w:r w:rsidRPr="004E7897">
        <w:rPr>
          <w:rFonts w:ascii="Arial Narrow" w:eastAsia="Calibri" w:hAnsi="Arial Narrow" w:cs="Arial"/>
          <w:sz w:val="24"/>
          <w:szCs w:val="24"/>
          <w:lang w:val="es-ES_tradnl"/>
        </w:rPr>
        <w:t>Proposición.</w:t>
      </w:r>
    </w:p>
    <w:p w:rsidR="00C25320" w:rsidRPr="004E7897" w:rsidRDefault="00C25320" w:rsidP="00453D96">
      <w:pPr>
        <w:tabs>
          <w:tab w:val="left" w:pos="2860"/>
        </w:tabs>
        <w:spacing w:after="200" w:line="240" w:lineRule="auto"/>
        <w:contextualSpacing/>
        <w:jc w:val="both"/>
        <w:rPr>
          <w:rFonts w:ascii="Arial Narrow" w:eastAsia="Calibri" w:hAnsi="Arial Narrow" w:cs="Arial"/>
          <w:sz w:val="24"/>
          <w:szCs w:val="24"/>
          <w:lang w:val="es-ES_tradnl"/>
        </w:rPr>
      </w:pPr>
    </w:p>
    <w:p w:rsidR="00D51C02" w:rsidRPr="004E7897" w:rsidRDefault="00767316" w:rsidP="00453D96">
      <w:pPr>
        <w:pStyle w:val="Prrafodelista"/>
        <w:numPr>
          <w:ilvl w:val="0"/>
          <w:numId w:val="1"/>
        </w:numPr>
        <w:tabs>
          <w:tab w:val="left" w:pos="2860"/>
        </w:tabs>
        <w:spacing w:after="200" w:line="240" w:lineRule="auto"/>
        <w:jc w:val="both"/>
        <w:rPr>
          <w:rFonts w:ascii="Arial Narrow" w:eastAsia="Calibri" w:hAnsi="Arial Narrow" w:cs="Arial"/>
          <w:b/>
          <w:sz w:val="24"/>
          <w:szCs w:val="24"/>
          <w:lang w:val="es-ES_tradnl"/>
        </w:rPr>
      </w:pPr>
      <w:r w:rsidRPr="004E7897">
        <w:rPr>
          <w:rFonts w:ascii="Arial Narrow" w:eastAsia="Calibri" w:hAnsi="Arial Narrow" w:cs="Arial"/>
          <w:b/>
          <w:sz w:val="24"/>
          <w:szCs w:val="24"/>
          <w:lang w:val="es-ES_tradnl"/>
        </w:rPr>
        <w:t xml:space="preserve">ANTECEDENTES </w:t>
      </w:r>
    </w:p>
    <w:p w:rsidR="000F4B19" w:rsidRPr="004E7897" w:rsidRDefault="005865C9" w:rsidP="00453D96">
      <w:pPr>
        <w:tabs>
          <w:tab w:val="left" w:pos="2860"/>
        </w:tabs>
        <w:spacing w:after="200" w:line="240" w:lineRule="auto"/>
        <w:jc w:val="both"/>
        <w:rPr>
          <w:rFonts w:ascii="Arial Narrow" w:eastAsia="Calibri" w:hAnsi="Arial Narrow" w:cs="Arial"/>
          <w:sz w:val="24"/>
          <w:szCs w:val="24"/>
          <w:lang w:val="es-ES_tradnl"/>
        </w:rPr>
      </w:pPr>
      <w:r w:rsidRPr="004E7897">
        <w:rPr>
          <w:rFonts w:ascii="Arial Narrow" w:eastAsia="Calibri" w:hAnsi="Arial Narrow" w:cs="Arial"/>
          <w:sz w:val="24"/>
          <w:szCs w:val="24"/>
          <w:lang w:val="es-ES_tradnl"/>
        </w:rPr>
        <w:t>El proyecto</w:t>
      </w:r>
      <w:r w:rsidR="000F4B19" w:rsidRPr="004E7897">
        <w:rPr>
          <w:rFonts w:ascii="Arial Narrow" w:eastAsia="Calibri" w:hAnsi="Arial Narrow" w:cs="Arial"/>
          <w:sz w:val="24"/>
          <w:szCs w:val="24"/>
          <w:lang w:val="es-ES_tradnl"/>
        </w:rPr>
        <w:t xml:space="preserve"> de ley objeto de estudio, </w:t>
      </w:r>
      <w:r w:rsidR="005F5289" w:rsidRPr="004E7897">
        <w:rPr>
          <w:rFonts w:ascii="Arial Narrow" w:eastAsia="Calibri" w:hAnsi="Arial Narrow" w:cs="Arial"/>
          <w:sz w:val="24"/>
          <w:szCs w:val="24"/>
          <w:lang w:val="es-ES_tradnl"/>
        </w:rPr>
        <w:t xml:space="preserve">es iniciativa de la H. Senadora Nadia Blel Scaff, </w:t>
      </w:r>
      <w:r w:rsidR="000F4B19" w:rsidRPr="004E7897">
        <w:rPr>
          <w:rFonts w:ascii="Arial Narrow" w:eastAsia="Calibri" w:hAnsi="Arial Narrow" w:cs="Arial"/>
          <w:sz w:val="24"/>
          <w:szCs w:val="24"/>
          <w:lang w:val="es-ES_tradnl"/>
        </w:rPr>
        <w:t xml:space="preserve">presentado </w:t>
      </w:r>
      <w:r w:rsidR="005652DD" w:rsidRPr="004E7897">
        <w:rPr>
          <w:rFonts w:ascii="Arial Narrow" w:eastAsia="Calibri" w:hAnsi="Arial Narrow" w:cs="Arial"/>
          <w:sz w:val="24"/>
          <w:szCs w:val="24"/>
          <w:lang w:val="es-ES_tradnl"/>
        </w:rPr>
        <w:t>el pasado</w:t>
      </w:r>
      <w:r w:rsidR="005F5289" w:rsidRPr="004E7897">
        <w:rPr>
          <w:rFonts w:ascii="Arial Narrow" w:eastAsia="Calibri" w:hAnsi="Arial Narrow" w:cs="Arial"/>
          <w:sz w:val="24"/>
          <w:szCs w:val="24"/>
          <w:lang w:val="es-ES_tradnl"/>
        </w:rPr>
        <w:t xml:space="preserve"> 08 de septiembre de 2016</w:t>
      </w:r>
      <w:r w:rsidR="005652DD" w:rsidRPr="004E7897">
        <w:rPr>
          <w:rFonts w:ascii="Arial Narrow" w:eastAsia="Calibri" w:hAnsi="Arial Narrow" w:cs="Arial"/>
          <w:sz w:val="24"/>
          <w:szCs w:val="24"/>
          <w:lang w:val="es-ES_tradnl"/>
        </w:rPr>
        <w:t xml:space="preserve"> y publicado en gaceta </w:t>
      </w:r>
      <w:r w:rsidR="005F5289" w:rsidRPr="004E7897">
        <w:rPr>
          <w:rFonts w:ascii="Arial Narrow" w:eastAsia="Calibri" w:hAnsi="Arial Narrow" w:cs="Arial"/>
          <w:sz w:val="24"/>
          <w:szCs w:val="24"/>
          <w:lang w:val="es-ES_tradnl"/>
        </w:rPr>
        <w:t xml:space="preserve">606 </w:t>
      </w:r>
      <w:r w:rsidR="005652DD" w:rsidRPr="004E7897">
        <w:rPr>
          <w:rFonts w:ascii="Arial Narrow" w:eastAsia="Calibri" w:hAnsi="Arial Narrow" w:cs="Arial"/>
          <w:sz w:val="24"/>
          <w:szCs w:val="24"/>
          <w:lang w:val="es-ES_tradnl"/>
        </w:rPr>
        <w:t xml:space="preserve">de 2016 con fecha </w:t>
      </w:r>
      <w:r w:rsidR="005F5289" w:rsidRPr="004E7897">
        <w:rPr>
          <w:rFonts w:ascii="Arial Narrow" w:eastAsia="Calibri" w:hAnsi="Arial Narrow" w:cs="Arial"/>
          <w:sz w:val="24"/>
          <w:szCs w:val="24"/>
          <w:lang w:val="es-ES_tradnl"/>
        </w:rPr>
        <w:t xml:space="preserve">10 </w:t>
      </w:r>
      <w:r w:rsidR="005652DD" w:rsidRPr="004E7897">
        <w:rPr>
          <w:rFonts w:ascii="Arial Narrow" w:eastAsia="Calibri" w:hAnsi="Arial Narrow" w:cs="Arial"/>
          <w:sz w:val="24"/>
          <w:szCs w:val="24"/>
          <w:lang w:val="es-ES_tradnl"/>
        </w:rPr>
        <w:t xml:space="preserve">de </w:t>
      </w:r>
      <w:r w:rsidR="005F5289" w:rsidRPr="004E7897">
        <w:rPr>
          <w:rFonts w:ascii="Arial Narrow" w:eastAsia="Calibri" w:hAnsi="Arial Narrow" w:cs="Arial"/>
          <w:sz w:val="24"/>
          <w:szCs w:val="24"/>
          <w:lang w:val="es-ES_tradnl"/>
        </w:rPr>
        <w:t xml:space="preserve">octubre </w:t>
      </w:r>
      <w:r w:rsidR="005652DD" w:rsidRPr="004E7897">
        <w:rPr>
          <w:rFonts w:ascii="Arial Narrow" w:eastAsia="Calibri" w:hAnsi="Arial Narrow" w:cs="Arial"/>
          <w:sz w:val="24"/>
          <w:szCs w:val="24"/>
          <w:lang w:val="es-ES_tradnl"/>
        </w:rPr>
        <w:t xml:space="preserve">de 2016. </w:t>
      </w:r>
    </w:p>
    <w:p w:rsidR="004E7897" w:rsidRDefault="004E7897" w:rsidP="00453D96">
      <w:pPr>
        <w:tabs>
          <w:tab w:val="left" w:pos="2860"/>
        </w:tabs>
        <w:spacing w:after="200" w:line="240" w:lineRule="auto"/>
        <w:jc w:val="both"/>
        <w:rPr>
          <w:rFonts w:ascii="Arial Narrow" w:eastAsia="Calibri" w:hAnsi="Arial Narrow" w:cs="Arial"/>
          <w:sz w:val="24"/>
          <w:szCs w:val="24"/>
          <w:lang w:val="es-ES_tradnl"/>
        </w:rPr>
      </w:pPr>
    </w:p>
    <w:p w:rsidR="005652DD" w:rsidRPr="004E7897" w:rsidRDefault="005652DD" w:rsidP="00453D96">
      <w:pPr>
        <w:tabs>
          <w:tab w:val="left" w:pos="2860"/>
        </w:tabs>
        <w:spacing w:after="200" w:line="240" w:lineRule="auto"/>
        <w:jc w:val="both"/>
        <w:rPr>
          <w:rFonts w:ascii="Arial Narrow" w:eastAsia="Calibri" w:hAnsi="Arial Narrow" w:cs="Arial"/>
          <w:b/>
          <w:sz w:val="24"/>
          <w:szCs w:val="24"/>
          <w:lang w:val="es-ES_tradnl"/>
        </w:rPr>
      </w:pPr>
      <w:r w:rsidRPr="004E7897">
        <w:rPr>
          <w:rFonts w:ascii="Arial Narrow" w:eastAsia="Calibri" w:hAnsi="Arial Narrow" w:cs="Arial"/>
          <w:sz w:val="24"/>
          <w:szCs w:val="24"/>
          <w:lang w:val="es-ES_tradnl"/>
        </w:rPr>
        <w:lastRenderedPageBreak/>
        <w:t xml:space="preserve">En continuidad del trámite </w:t>
      </w:r>
      <w:r w:rsidR="006A6CD2" w:rsidRPr="004E7897">
        <w:rPr>
          <w:rFonts w:ascii="Arial Narrow" w:eastAsia="Calibri" w:hAnsi="Arial Narrow" w:cs="Arial"/>
          <w:sz w:val="24"/>
          <w:szCs w:val="24"/>
          <w:lang w:val="es-ES_tradnl"/>
        </w:rPr>
        <w:t>legislativo, el</w:t>
      </w:r>
      <w:r w:rsidR="005F5289" w:rsidRPr="004E7897">
        <w:rPr>
          <w:rFonts w:ascii="Arial Narrow" w:eastAsia="Calibri" w:hAnsi="Arial Narrow" w:cs="Arial"/>
          <w:sz w:val="24"/>
          <w:szCs w:val="24"/>
          <w:lang w:val="es-ES_tradnl"/>
        </w:rPr>
        <w:t xml:space="preserve"> proyecto de ley 87 de 2016</w:t>
      </w:r>
      <w:r w:rsidRPr="004E7897">
        <w:rPr>
          <w:rFonts w:ascii="Arial Narrow" w:eastAsia="Calibri" w:hAnsi="Arial Narrow" w:cs="Arial"/>
          <w:sz w:val="24"/>
          <w:szCs w:val="24"/>
          <w:lang w:val="es-ES_tradnl"/>
        </w:rPr>
        <w:t xml:space="preserve">, fue remitido a la Comisión </w:t>
      </w:r>
      <w:r w:rsidR="005F5289" w:rsidRPr="004E7897">
        <w:rPr>
          <w:rFonts w:ascii="Arial Narrow" w:eastAsia="Calibri" w:hAnsi="Arial Narrow" w:cs="Arial"/>
          <w:sz w:val="24"/>
          <w:szCs w:val="24"/>
          <w:lang w:val="es-ES_tradnl"/>
        </w:rPr>
        <w:t>Primera</w:t>
      </w:r>
      <w:r w:rsidRPr="004E7897">
        <w:rPr>
          <w:rFonts w:ascii="Arial Narrow" w:eastAsia="Calibri" w:hAnsi="Arial Narrow" w:cs="Arial"/>
          <w:sz w:val="24"/>
          <w:szCs w:val="24"/>
          <w:lang w:val="es-ES_tradnl"/>
        </w:rPr>
        <w:t xml:space="preserve"> Constitucion</w:t>
      </w:r>
      <w:r w:rsidR="000E399C" w:rsidRPr="004E7897">
        <w:rPr>
          <w:rFonts w:ascii="Arial Narrow" w:eastAsia="Calibri" w:hAnsi="Arial Narrow" w:cs="Arial"/>
          <w:sz w:val="24"/>
          <w:szCs w:val="24"/>
          <w:lang w:val="es-ES_tradnl"/>
        </w:rPr>
        <w:t>al Permanente, siendo designado</w:t>
      </w:r>
      <w:r w:rsidRPr="004E7897">
        <w:rPr>
          <w:rFonts w:ascii="Arial Narrow" w:eastAsia="Calibri" w:hAnsi="Arial Narrow" w:cs="Arial"/>
          <w:sz w:val="24"/>
          <w:szCs w:val="24"/>
          <w:lang w:val="es-ES_tradnl"/>
        </w:rPr>
        <w:t xml:space="preserve"> como p</w:t>
      </w:r>
      <w:r w:rsidR="002D3E69" w:rsidRPr="004E7897">
        <w:rPr>
          <w:rFonts w:ascii="Arial Narrow" w:eastAsia="Calibri" w:hAnsi="Arial Narrow" w:cs="Arial"/>
          <w:sz w:val="24"/>
          <w:szCs w:val="24"/>
          <w:lang w:val="es-ES_tradnl"/>
        </w:rPr>
        <w:t>onente</w:t>
      </w:r>
      <w:r w:rsidR="0004342D" w:rsidRPr="004E7897">
        <w:rPr>
          <w:rFonts w:ascii="Arial Narrow" w:eastAsia="Calibri" w:hAnsi="Arial Narrow" w:cs="Arial"/>
          <w:sz w:val="24"/>
          <w:szCs w:val="24"/>
          <w:lang w:val="es-ES_tradnl"/>
        </w:rPr>
        <w:t xml:space="preserve"> para primer debate </w:t>
      </w:r>
      <w:r w:rsidR="002D3E69" w:rsidRPr="004E7897">
        <w:rPr>
          <w:rFonts w:ascii="Arial Narrow" w:eastAsia="Calibri" w:hAnsi="Arial Narrow" w:cs="Arial"/>
          <w:sz w:val="24"/>
          <w:szCs w:val="24"/>
          <w:lang w:val="es-ES_tradnl"/>
        </w:rPr>
        <w:t xml:space="preserve">el </w:t>
      </w:r>
      <w:r w:rsidR="000E399C" w:rsidRPr="004E7897">
        <w:rPr>
          <w:rFonts w:ascii="Arial Narrow" w:eastAsia="Calibri" w:hAnsi="Arial Narrow" w:cs="Arial"/>
          <w:sz w:val="24"/>
          <w:szCs w:val="24"/>
          <w:lang w:val="es-ES_tradnl"/>
        </w:rPr>
        <w:t xml:space="preserve">H. Senador </w:t>
      </w:r>
      <w:r w:rsidR="006A6CD2" w:rsidRPr="004E7897">
        <w:rPr>
          <w:rFonts w:ascii="Arial Narrow" w:eastAsia="Calibri" w:hAnsi="Arial Narrow" w:cs="Arial"/>
          <w:sz w:val="24"/>
          <w:szCs w:val="24"/>
          <w:lang w:val="es-ES_tradnl"/>
        </w:rPr>
        <w:t>Hernán</w:t>
      </w:r>
      <w:r w:rsidR="000E399C" w:rsidRPr="004E7897">
        <w:rPr>
          <w:rFonts w:ascii="Arial Narrow" w:eastAsia="Calibri" w:hAnsi="Arial Narrow" w:cs="Arial"/>
          <w:sz w:val="24"/>
          <w:szCs w:val="24"/>
          <w:lang w:val="es-ES_tradnl"/>
        </w:rPr>
        <w:t xml:space="preserve"> </w:t>
      </w:r>
      <w:r w:rsidR="006A6CD2" w:rsidRPr="004E7897">
        <w:rPr>
          <w:rFonts w:ascii="Arial Narrow" w:eastAsia="Calibri" w:hAnsi="Arial Narrow" w:cs="Arial"/>
          <w:sz w:val="24"/>
          <w:szCs w:val="24"/>
          <w:lang w:val="es-ES_tradnl"/>
        </w:rPr>
        <w:t>Francisco</w:t>
      </w:r>
      <w:r w:rsidR="000E399C" w:rsidRPr="004E7897">
        <w:rPr>
          <w:rFonts w:ascii="Arial Narrow" w:eastAsia="Calibri" w:hAnsi="Arial Narrow" w:cs="Arial"/>
          <w:sz w:val="24"/>
          <w:szCs w:val="24"/>
          <w:lang w:val="es-ES_tradnl"/>
        </w:rPr>
        <w:t xml:space="preserve"> Andrade Serrano</w:t>
      </w:r>
      <w:r w:rsidR="002D3E69" w:rsidRPr="004E7897">
        <w:rPr>
          <w:rFonts w:ascii="Arial Narrow" w:eastAsia="Calibri" w:hAnsi="Arial Narrow" w:cs="Arial"/>
          <w:sz w:val="24"/>
          <w:szCs w:val="24"/>
          <w:lang w:val="es-ES_tradnl"/>
        </w:rPr>
        <w:t xml:space="preserve">, quien efectuó ponencia positiva tal como consta en </w:t>
      </w:r>
      <w:r w:rsidR="002D3E69" w:rsidRPr="004E7897">
        <w:rPr>
          <w:rFonts w:ascii="Arial Narrow" w:eastAsia="Calibri" w:hAnsi="Arial Narrow" w:cs="Arial"/>
          <w:b/>
          <w:sz w:val="24"/>
          <w:szCs w:val="24"/>
          <w:lang w:val="es-ES_tradnl"/>
        </w:rPr>
        <w:t>Gaceta 214 de 2017.</w:t>
      </w:r>
    </w:p>
    <w:p w:rsidR="00064EF2" w:rsidRPr="004E7897" w:rsidRDefault="00064EF2" w:rsidP="00064EF2">
      <w:p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sz w:val="24"/>
          <w:szCs w:val="24"/>
          <w:lang w:val="es-ES_tradnl" w:eastAsia="es-ES"/>
        </w:rPr>
        <w:t xml:space="preserve">En debate surtido ante la comisión primera permanente constitucional se aprobó proposición modificatoria del artículo 1 de la iniciativa, a fin de extender la aplicación de la inhabilidad no solo a las conductas delictivas cometidas en </w:t>
      </w:r>
      <w:r w:rsidR="004E7897" w:rsidRPr="004E7897">
        <w:rPr>
          <w:rFonts w:ascii="Arial Narrow" w:eastAsia="Times New Roman" w:hAnsi="Arial Narrow" w:cs="Arial"/>
          <w:sz w:val="24"/>
          <w:szCs w:val="24"/>
          <w:lang w:val="es-ES_tradnl" w:eastAsia="es-ES"/>
        </w:rPr>
        <w:t>contra menores</w:t>
      </w:r>
      <w:r w:rsidRPr="004E7897">
        <w:rPr>
          <w:rFonts w:ascii="Arial Narrow" w:eastAsia="Times New Roman" w:hAnsi="Arial Narrow" w:cs="Arial"/>
          <w:sz w:val="24"/>
          <w:szCs w:val="24"/>
          <w:lang w:val="es-ES_tradnl" w:eastAsia="es-ES"/>
        </w:rPr>
        <w:t xml:space="preserve"> de catorce años, si no, ampliar el ámbito de aplicación hasta menores de 18 años, de acuerdo a lo dispuesto en el Código De Infancia Y Adolescencia ley 1098 de 2006, articulo 3.  </w:t>
      </w:r>
    </w:p>
    <w:p w:rsidR="00064EF2" w:rsidRPr="004E7897" w:rsidRDefault="00064EF2" w:rsidP="00064EF2">
      <w:pPr>
        <w:jc w:val="both"/>
        <w:rPr>
          <w:rFonts w:ascii="Arial Narrow" w:hAnsi="Arial Narrow"/>
          <w:sz w:val="24"/>
          <w:szCs w:val="24"/>
        </w:rPr>
      </w:pPr>
      <w:r w:rsidRPr="004E7897">
        <w:rPr>
          <w:rFonts w:ascii="Arial Narrow" w:hAnsi="Arial Narrow" w:cs="Arial"/>
          <w:sz w:val="24"/>
          <w:szCs w:val="24"/>
          <w:lang w:val="es-ES_tradnl"/>
        </w:rPr>
        <w:t xml:space="preserve">Los demás artículos que no tuvieron proposiciones: 2º, 3º, 4° y 5º, fueron aprobados tal como fueron presentados en el texto propuesto de la Ponencia positiva para segundo Debate Senado, publicado en la Gaceta del Congreso No. </w:t>
      </w:r>
      <w:r w:rsidRPr="004E7897">
        <w:rPr>
          <w:rFonts w:ascii="Arial Narrow" w:hAnsi="Arial Narrow" w:cs="Arial"/>
          <w:b/>
          <w:sz w:val="24"/>
          <w:szCs w:val="24"/>
          <w:lang w:val="es-ES_tradnl"/>
        </w:rPr>
        <w:t>(357/2017</w:t>
      </w:r>
      <w:r w:rsidRPr="004E7897">
        <w:rPr>
          <w:rFonts w:ascii="Arial Narrow" w:hAnsi="Arial Narrow" w:cs="Arial"/>
          <w:sz w:val="24"/>
          <w:szCs w:val="24"/>
          <w:lang w:val="es-ES_tradnl"/>
        </w:rPr>
        <w:t>).</w:t>
      </w:r>
      <w:r w:rsidRPr="004E7897">
        <w:rPr>
          <w:rFonts w:ascii="Arial Narrow" w:hAnsi="Arial Narrow"/>
          <w:sz w:val="24"/>
          <w:szCs w:val="24"/>
        </w:rPr>
        <w:t xml:space="preserve"> </w:t>
      </w:r>
    </w:p>
    <w:p w:rsidR="006535D6" w:rsidRPr="004E7897" w:rsidRDefault="00064EF2" w:rsidP="00453D96">
      <w:pPr>
        <w:tabs>
          <w:tab w:val="left" w:pos="2860"/>
        </w:tabs>
        <w:spacing w:after="200" w:line="240" w:lineRule="auto"/>
        <w:jc w:val="both"/>
        <w:rPr>
          <w:rFonts w:ascii="Arial Narrow" w:eastAsia="Calibri" w:hAnsi="Arial Narrow" w:cs="Arial"/>
          <w:b/>
          <w:sz w:val="24"/>
          <w:szCs w:val="24"/>
          <w:lang w:val="es-ES_tradnl"/>
        </w:rPr>
      </w:pPr>
      <w:r w:rsidRPr="004E7897">
        <w:rPr>
          <w:rFonts w:ascii="Arial Narrow" w:eastAsia="Calibri" w:hAnsi="Arial Narrow" w:cs="Arial"/>
          <w:sz w:val="24"/>
          <w:szCs w:val="24"/>
          <w:lang w:val="es-ES_tradnl"/>
        </w:rPr>
        <w:t xml:space="preserve">En </w:t>
      </w:r>
      <w:r w:rsidR="006F2604" w:rsidRPr="004E7897">
        <w:rPr>
          <w:rFonts w:ascii="Arial Narrow" w:eastAsia="Calibri" w:hAnsi="Arial Narrow" w:cs="Arial"/>
          <w:sz w:val="24"/>
          <w:szCs w:val="24"/>
          <w:lang w:val="es-ES_tradnl"/>
        </w:rPr>
        <w:t>trámite</w:t>
      </w:r>
      <w:r w:rsidRPr="004E7897">
        <w:rPr>
          <w:rFonts w:ascii="Arial Narrow" w:eastAsia="Calibri" w:hAnsi="Arial Narrow" w:cs="Arial"/>
          <w:sz w:val="24"/>
          <w:szCs w:val="24"/>
          <w:lang w:val="es-ES_tradnl"/>
        </w:rPr>
        <w:t xml:space="preserve"> legislativo efectuado ante la plen</w:t>
      </w:r>
      <w:r w:rsidR="006F2604" w:rsidRPr="004E7897">
        <w:rPr>
          <w:rFonts w:ascii="Arial Narrow" w:eastAsia="Calibri" w:hAnsi="Arial Narrow" w:cs="Arial"/>
          <w:sz w:val="24"/>
          <w:szCs w:val="24"/>
          <w:lang w:val="es-ES_tradnl"/>
        </w:rPr>
        <w:t>aria de senado de la república</w:t>
      </w:r>
      <w:r w:rsidRPr="004E7897">
        <w:rPr>
          <w:rFonts w:ascii="Arial Narrow" w:eastAsia="Calibri" w:hAnsi="Arial Narrow" w:cs="Arial"/>
          <w:sz w:val="24"/>
          <w:szCs w:val="24"/>
          <w:lang w:val="es-ES_tradnl"/>
        </w:rPr>
        <w:t xml:space="preserve"> fue aprobado sin modificaciones en Sesión Plenaria </w:t>
      </w:r>
      <w:r w:rsidR="006F2604" w:rsidRPr="004E7897">
        <w:rPr>
          <w:rFonts w:ascii="Arial Narrow" w:eastAsia="Calibri" w:hAnsi="Arial Narrow" w:cs="Arial"/>
          <w:sz w:val="24"/>
          <w:szCs w:val="24"/>
          <w:lang w:val="es-ES_tradnl"/>
        </w:rPr>
        <w:t xml:space="preserve">del </w:t>
      </w:r>
      <w:r w:rsidRPr="004E7897">
        <w:rPr>
          <w:rFonts w:ascii="Arial Narrow" w:eastAsia="Calibri" w:hAnsi="Arial Narrow" w:cs="Arial"/>
          <w:sz w:val="24"/>
          <w:szCs w:val="24"/>
          <w:lang w:val="es-ES_tradnl"/>
        </w:rPr>
        <w:t>día 15 de junio de 2017, de conformidad con el articulado para segundo debate.</w:t>
      </w:r>
      <w:r w:rsidR="006F2604" w:rsidRPr="004E7897">
        <w:rPr>
          <w:rFonts w:ascii="Arial Narrow" w:eastAsia="Calibri" w:hAnsi="Arial Narrow" w:cs="Arial"/>
          <w:sz w:val="24"/>
          <w:szCs w:val="24"/>
          <w:lang w:val="es-ES_tradnl"/>
        </w:rPr>
        <w:t xml:space="preserve"> Gaceta del Congreso </w:t>
      </w:r>
      <w:r w:rsidR="006F2604" w:rsidRPr="004E7897">
        <w:rPr>
          <w:rFonts w:ascii="Arial Narrow" w:eastAsia="Calibri" w:hAnsi="Arial Narrow" w:cs="Arial"/>
          <w:b/>
          <w:sz w:val="24"/>
          <w:szCs w:val="24"/>
          <w:lang w:val="es-ES_tradnl"/>
        </w:rPr>
        <w:t>(N° 514 de 2017)</w:t>
      </w:r>
      <w:r w:rsidR="00D309AA" w:rsidRPr="004E7897">
        <w:rPr>
          <w:rFonts w:ascii="Arial Narrow" w:eastAsia="Calibri" w:hAnsi="Arial Narrow" w:cs="Arial"/>
          <w:b/>
          <w:sz w:val="24"/>
          <w:szCs w:val="24"/>
          <w:lang w:val="es-ES_tradnl"/>
        </w:rPr>
        <w:t>.</w:t>
      </w:r>
    </w:p>
    <w:p w:rsidR="00D309AA" w:rsidRPr="004E7897" w:rsidRDefault="00D309AA" w:rsidP="00453D96">
      <w:pPr>
        <w:tabs>
          <w:tab w:val="left" w:pos="2860"/>
        </w:tabs>
        <w:spacing w:after="200" w:line="240" w:lineRule="auto"/>
        <w:jc w:val="both"/>
        <w:rPr>
          <w:rFonts w:ascii="Arial Narrow" w:eastAsia="Calibri" w:hAnsi="Arial Narrow" w:cs="Arial"/>
          <w:sz w:val="24"/>
          <w:szCs w:val="24"/>
          <w:lang w:val="es-ES_tradnl"/>
        </w:rPr>
      </w:pPr>
      <w:r w:rsidRPr="004E7897">
        <w:rPr>
          <w:rFonts w:ascii="Arial Narrow" w:eastAsia="Calibri" w:hAnsi="Arial Narrow" w:cs="Arial"/>
          <w:sz w:val="24"/>
          <w:szCs w:val="24"/>
          <w:lang w:val="es-ES_tradnl"/>
        </w:rPr>
        <w:t>Culminado los dos debates en Senado de la república el proyecto es enviado a la Comisión Primera De la Cámara De Representantes para dar continuidad en los términos de ley, designando como ponente(s) para tercer debate el H. Representante(</w:t>
      </w:r>
      <w:r w:rsidR="006530DF" w:rsidRPr="004E7897">
        <w:rPr>
          <w:rFonts w:ascii="Arial Narrow" w:eastAsia="Calibri" w:hAnsi="Arial Narrow" w:cs="Arial"/>
          <w:sz w:val="24"/>
          <w:szCs w:val="24"/>
          <w:lang w:val="es-ES_tradnl"/>
        </w:rPr>
        <w:t>s) Juan</w:t>
      </w:r>
      <w:r w:rsidR="004E7897">
        <w:rPr>
          <w:rFonts w:ascii="Arial Narrow" w:eastAsia="Calibri" w:hAnsi="Arial Narrow" w:cs="Arial"/>
          <w:sz w:val="24"/>
          <w:szCs w:val="24"/>
          <w:lang w:val="es-ES_tradnl"/>
        </w:rPr>
        <w:t xml:space="preserve"> Carlos García Gómez </w:t>
      </w:r>
    </w:p>
    <w:p w:rsidR="00D309AA" w:rsidRPr="004E7897" w:rsidRDefault="00D309AA" w:rsidP="00453D96">
      <w:pPr>
        <w:tabs>
          <w:tab w:val="left" w:pos="2860"/>
        </w:tabs>
        <w:spacing w:after="200" w:line="240" w:lineRule="auto"/>
        <w:jc w:val="both"/>
        <w:rPr>
          <w:rFonts w:ascii="Arial Narrow" w:eastAsia="Calibri" w:hAnsi="Arial Narrow" w:cs="Arial"/>
          <w:sz w:val="24"/>
          <w:szCs w:val="24"/>
          <w:lang w:val="es-ES_tradnl"/>
        </w:rPr>
      </w:pPr>
    </w:p>
    <w:p w:rsidR="005845D3" w:rsidRPr="004E7897" w:rsidRDefault="00D13E1C" w:rsidP="00453D96">
      <w:pPr>
        <w:pStyle w:val="Prrafodelista"/>
        <w:numPr>
          <w:ilvl w:val="0"/>
          <w:numId w:val="1"/>
        </w:numPr>
        <w:spacing w:line="240" w:lineRule="auto"/>
        <w:jc w:val="both"/>
        <w:rPr>
          <w:rFonts w:ascii="Arial Narrow" w:hAnsi="Arial Narrow" w:cs="Arial"/>
          <w:b/>
          <w:sz w:val="24"/>
          <w:szCs w:val="24"/>
        </w:rPr>
      </w:pPr>
      <w:r w:rsidRPr="004E7897">
        <w:rPr>
          <w:rFonts w:ascii="Arial Narrow" w:hAnsi="Arial Narrow" w:cs="Arial"/>
          <w:b/>
          <w:sz w:val="24"/>
          <w:szCs w:val="24"/>
        </w:rPr>
        <w:t>OBJETO Y JUSTIFICACIÓN DEL PROYECTO.</w:t>
      </w:r>
    </w:p>
    <w:p w:rsidR="000A6858" w:rsidRPr="004E7897" w:rsidRDefault="006535D6" w:rsidP="000A6858">
      <w:pPr>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 xml:space="preserve">El proyecto tiene por objeto la protección de </w:t>
      </w:r>
      <w:r w:rsidR="00771A3F" w:rsidRPr="004E7897">
        <w:rPr>
          <w:rFonts w:ascii="Arial Narrow" w:eastAsia="Times New Roman" w:hAnsi="Arial Narrow" w:cs="Arial"/>
          <w:sz w:val="24"/>
          <w:szCs w:val="24"/>
          <w:lang w:val="es-ES" w:eastAsia="es-ES"/>
        </w:rPr>
        <w:t xml:space="preserve">la libertad y formación sexual </w:t>
      </w:r>
      <w:r w:rsidRPr="004E7897">
        <w:rPr>
          <w:rFonts w:ascii="Arial Narrow" w:eastAsia="Times New Roman" w:hAnsi="Arial Narrow" w:cs="Arial"/>
          <w:sz w:val="24"/>
          <w:szCs w:val="24"/>
          <w:lang w:val="es-ES" w:eastAsia="es-ES"/>
        </w:rPr>
        <w:t>de los niños, niñas y adole</w:t>
      </w:r>
      <w:r w:rsidR="00362ADC" w:rsidRPr="004E7897">
        <w:rPr>
          <w:rFonts w:ascii="Arial Narrow" w:eastAsia="Times New Roman" w:hAnsi="Arial Narrow" w:cs="Arial"/>
          <w:sz w:val="24"/>
          <w:szCs w:val="24"/>
          <w:lang w:val="es-ES" w:eastAsia="es-ES"/>
        </w:rPr>
        <w:t>scentes del territorio nacional mediante</w:t>
      </w:r>
      <w:r w:rsidR="000A6858" w:rsidRPr="004E7897">
        <w:rPr>
          <w:rFonts w:ascii="Arial Narrow" w:eastAsia="Times New Roman" w:hAnsi="Arial Narrow" w:cs="Arial"/>
          <w:sz w:val="24"/>
          <w:szCs w:val="24"/>
          <w:lang w:val="es-ES" w:eastAsia="es-ES"/>
        </w:rPr>
        <w:t xml:space="preserve"> el establecimiento de la inhabilidad para desempeñar cargos, oficios o profesiones que involucren una relación directa y habitual con menores de edad dirigida a quienes hayan sido condenados por la comisión de delitos contra la libertad, integridad y formación sexuales establecido en el título IV de la ley 599 DE 2000 </w:t>
      </w:r>
      <w:r w:rsidR="00C422E9" w:rsidRPr="004E7897">
        <w:rPr>
          <w:rFonts w:ascii="Arial Narrow" w:eastAsia="Times New Roman" w:hAnsi="Arial Narrow" w:cs="Arial"/>
          <w:sz w:val="24"/>
          <w:szCs w:val="24"/>
          <w:lang w:val="es-ES" w:eastAsia="es-ES"/>
        </w:rPr>
        <w:t xml:space="preserve"> </w:t>
      </w:r>
      <w:r w:rsidR="000A6858" w:rsidRPr="004E7897">
        <w:rPr>
          <w:rFonts w:ascii="Arial Narrow" w:eastAsia="Times New Roman" w:hAnsi="Arial Narrow" w:cs="Arial"/>
          <w:sz w:val="24"/>
          <w:szCs w:val="24"/>
          <w:lang w:val="es-ES" w:eastAsia="es-ES"/>
        </w:rPr>
        <w:t>en donde el sujeto pasivo</w:t>
      </w:r>
      <w:r w:rsidR="00C422E9" w:rsidRPr="004E7897">
        <w:rPr>
          <w:rFonts w:ascii="Arial Narrow" w:eastAsia="Times New Roman" w:hAnsi="Arial Narrow" w:cs="Arial"/>
          <w:sz w:val="24"/>
          <w:szCs w:val="24"/>
          <w:lang w:val="es-ES" w:eastAsia="es-ES"/>
        </w:rPr>
        <w:t xml:space="preserve"> de la conducta</w:t>
      </w:r>
      <w:r w:rsidR="000A6858" w:rsidRPr="004E7897">
        <w:rPr>
          <w:rFonts w:ascii="Arial Narrow" w:eastAsia="Times New Roman" w:hAnsi="Arial Narrow" w:cs="Arial"/>
          <w:sz w:val="24"/>
          <w:szCs w:val="24"/>
          <w:lang w:val="es-ES" w:eastAsia="es-ES"/>
        </w:rPr>
        <w:t xml:space="preserve"> haya sido un menor. </w:t>
      </w:r>
    </w:p>
    <w:p w:rsidR="00482E19" w:rsidRPr="004E7897" w:rsidRDefault="00482E19" w:rsidP="00453D96">
      <w:pPr>
        <w:spacing w:after="0" w:line="240" w:lineRule="auto"/>
        <w:jc w:val="both"/>
        <w:rPr>
          <w:rFonts w:ascii="Arial Narrow" w:eastAsia="Times New Roman" w:hAnsi="Arial Narrow" w:cs="Arial"/>
          <w:sz w:val="24"/>
          <w:szCs w:val="24"/>
          <w:lang w:val="es-ES" w:eastAsia="es-ES"/>
        </w:rPr>
      </w:pPr>
    </w:p>
    <w:p w:rsidR="00C422E9" w:rsidRPr="004E7897" w:rsidRDefault="00C422E9" w:rsidP="00C422E9">
      <w:pPr>
        <w:pStyle w:val="Prrafodelista"/>
        <w:numPr>
          <w:ilvl w:val="0"/>
          <w:numId w:val="1"/>
        </w:numPr>
        <w:spacing w:after="0" w:line="240" w:lineRule="auto"/>
        <w:jc w:val="both"/>
        <w:rPr>
          <w:rFonts w:ascii="Arial Narrow" w:eastAsia="MS Mincho" w:hAnsi="Arial Narrow" w:cs="Times New Roman"/>
          <w:b/>
          <w:sz w:val="24"/>
          <w:szCs w:val="24"/>
          <w:lang w:val="es-ES_tradnl" w:eastAsia="es-ES"/>
        </w:rPr>
      </w:pPr>
      <w:r w:rsidRPr="004E7897">
        <w:rPr>
          <w:rFonts w:ascii="Arial Narrow" w:eastAsia="MS Mincho" w:hAnsi="Arial Narrow" w:cs="Times New Roman"/>
          <w:b/>
          <w:sz w:val="24"/>
          <w:szCs w:val="24"/>
          <w:lang w:val="es-ES_tradnl" w:eastAsia="es-ES"/>
        </w:rPr>
        <w:t>JUSTIFICACION DE LA INICIATIVA.</w:t>
      </w:r>
    </w:p>
    <w:p w:rsidR="00C422E9" w:rsidRPr="004E7897" w:rsidRDefault="00C422E9" w:rsidP="00C422E9">
      <w:pPr>
        <w:spacing w:after="0" w:line="240" w:lineRule="auto"/>
        <w:jc w:val="both"/>
        <w:rPr>
          <w:rFonts w:ascii="Arial Narrow" w:eastAsia="MS Mincho" w:hAnsi="Arial Narrow" w:cs="Times New Roman"/>
          <w:sz w:val="24"/>
          <w:szCs w:val="24"/>
          <w:lang w:val="es-ES_tradnl" w:eastAsia="es-ES"/>
        </w:rPr>
      </w:pPr>
    </w:p>
    <w:p w:rsidR="00C422E9" w:rsidRPr="004E7897" w:rsidRDefault="00C422E9" w:rsidP="00C422E9">
      <w:pPr>
        <w:spacing w:after="0" w:line="240" w:lineRule="auto"/>
        <w:jc w:val="both"/>
        <w:rPr>
          <w:rFonts w:ascii="Arial Narrow" w:eastAsia="MS Mincho" w:hAnsi="Arial Narrow" w:cs="Times New Roman"/>
          <w:sz w:val="24"/>
          <w:szCs w:val="24"/>
          <w:lang w:val="es-ES_tradnl" w:eastAsia="es-ES"/>
        </w:rPr>
      </w:pPr>
      <w:r w:rsidRPr="004E7897">
        <w:rPr>
          <w:rFonts w:ascii="Arial Narrow" w:eastAsia="MS Mincho" w:hAnsi="Arial Narrow" w:cs="Times New Roman"/>
          <w:sz w:val="24"/>
          <w:szCs w:val="24"/>
          <w:lang w:val="es-ES_tradnl" w:eastAsia="es-ES"/>
        </w:rPr>
        <w:t>En el último año, hasta mil millones de niños han sufrido violencia física, sexual o psicológica, según un estudio publicado recientemente en Pediatrics. El homicidio es una de las cinco causas principales de muerte entre los adolescentes. Uno de cada cuatro niños padece maltrato físico, y casi una de cada cinco niñas sufre abusos sexuales al menos una vez en su vida.</w:t>
      </w:r>
    </w:p>
    <w:p w:rsidR="00C422E9" w:rsidRPr="004E7897" w:rsidRDefault="00C422E9" w:rsidP="00C422E9">
      <w:pPr>
        <w:spacing w:line="240" w:lineRule="auto"/>
        <w:jc w:val="both"/>
        <w:rPr>
          <w:rFonts w:ascii="Arial Narrow" w:eastAsia="Calibri" w:hAnsi="Arial Narrow" w:cs="Times New Roman"/>
          <w:sz w:val="24"/>
          <w:szCs w:val="24"/>
          <w:lang w:val="es-ES_tradnl"/>
        </w:rPr>
      </w:pPr>
      <w:r w:rsidRPr="004E7897">
        <w:rPr>
          <w:rFonts w:ascii="Arial Narrow" w:eastAsia="Calibri" w:hAnsi="Arial Narrow" w:cs="Times New Roman"/>
          <w:sz w:val="24"/>
          <w:szCs w:val="24"/>
        </w:rPr>
        <w:t xml:space="preserve">Para contrarrestar esta realidad </w:t>
      </w:r>
      <w:r w:rsidR="006A6CD2" w:rsidRPr="004E7897">
        <w:rPr>
          <w:rFonts w:ascii="Arial Narrow" w:eastAsia="Calibri" w:hAnsi="Arial Narrow" w:cs="Times New Roman"/>
          <w:sz w:val="24"/>
          <w:szCs w:val="24"/>
        </w:rPr>
        <w:t>global, la</w:t>
      </w:r>
      <w:r w:rsidRPr="004E7897">
        <w:rPr>
          <w:rFonts w:ascii="Arial Narrow" w:eastAsia="Calibri" w:hAnsi="Arial Narrow" w:cs="Times New Roman"/>
          <w:sz w:val="24"/>
          <w:szCs w:val="24"/>
        </w:rPr>
        <w:t xml:space="preserve"> organización mundial de la salud (OMS) y los organismos </w:t>
      </w:r>
      <w:r w:rsidR="006A6CD2" w:rsidRPr="004E7897">
        <w:rPr>
          <w:rFonts w:ascii="Arial Narrow" w:eastAsia="Calibri" w:hAnsi="Arial Narrow" w:cs="Times New Roman"/>
          <w:sz w:val="24"/>
          <w:szCs w:val="24"/>
        </w:rPr>
        <w:t>asociados promueven</w:t>
      </w:r>
      <w:r w:rsidRPr="004E7897">
        <w:rPr>
          <w:rFonts w:ascii="Arial Narrow" w:eastAsia="Calibri" w:hAnsi="Arial Narrow" w:cs="Times New Roman"/>
          <w:sz w:val="24"/>
          <w:szCs w:val="24"/>
        </w:rPr>
        <w:t xml:space="preserve"> la política de acción “INSPIRE”</w:t>
      </w:r>
      <w:r w:rsidRPr="004E7897">
        <w:rPr>
          <w:rFonts w:ascii="Arial Narrow" w:eastAsia="MS Mincho" w:hAnsi="Arial Narrow" w:cs="Times New Roman"/>
          <w:sz w:val="24"/>
          <w:szCs w:val="24"/>
          <w:lang w:val="es-ES_tradnl" w:eastAsia="es-ES"/>
        </w:rPr>
        <w:t xml:space="preserve">, esta </w:t>
      </w:r>
      <w:r w:rsidRPr="004E7897">
        <w:rPr>
          <w:rFonts w:ascii="Arial Narrow" w:eastAsia="Calibri" w:hAnsi="Arial Narrow" w:cs="Times New Roman"/>
          <w:sz w:val="24"/>
          <w:szCs w:val="24"/>
          <w:lang w:val="es-ES_tradnl"/>
        </w:rPr>
        <w:t xml:space="preserve">incluye siete estrategias que conjuntamente ofrecen un marco global para poner fin a la violencia contra los niños. Dentro de este marco, cada una de las estrategias se presenta con un objetivo y una justificación propios, unos efectos potenciales, una serie de medidas específicas para su aplicación y pruebas de su eficacia. </w:t>
      </w:r>
    </w:p>
    <w:p w:rsidR="00C422E9" w:rsidRPr="004E7897" w:rsidRDefault="00C422E9" w:rsidP="00C422E9">
      <w:pPr>
        <w:spacing w:line="240" w:lineRule="auto"/>
        <w:jc w:val="both"/>
        <w:rPr>
          <w:rFonts w:ascii="Arial Narrow" w:eastAsia="Calibri" w:hAnsi="Arial Narrow" w:cs="Times New Roman"/>
          <w:sz w:val="24"/>
          <w:szCs w:val="24"/>
        </w:rPr>
      </w:pPr>
      <w:r w:rsidRPr="004E7897">
        <w:rPr>
          <w:rFonts w:ascii="Arial Narrow" w:eastAsia="Calibri" w:hAnsi="Arial Narrow" w:cs="Times New Roman"/>
          <w:sz w:val="24"/>
          <w:szCs w:val="24"/>
        </w:rPr>
        <w:lastRenderedPageBreak/>
        <w:t>La primera estrategia corresponde a “</w:t>
      </w:r>
      <w:r w:rsidRPr="004E7897">
        <w:rPr>
          <w:rFonts w:ascii="Arial Narrow" w:eastAsia="MS Mincho" w:hAnsi="Arial Narrow" w:cs="Times New Roman"/>
          <w:sz w:val="24"/>
          <w:szCs w:val="24"/>
          <w:lang w:val="es-ES_tradnl" w:eastAsia="es-ES"/>
        </w:rPr>
        <w:t>Aplicación y vigilancia del cumplimiento de las leyes”</w:t>
      </w:r>
      <w:r w:rsidRPr="004E7897">
        <w:rPr>
          <w:rFonts w:ascii="Arial Narrow" w:eastAsia="Calibri" w:hAnsi="Arial Narrow" w:cs="Times New Roman"/>
          <w:sz w:val="24"/>
          <w:szCs w:val="24"/>
        </w:rPr>
        <w:t xml:space="preserve"> destinada a garantizar la aplicación y la vigilancia del cumplimiento de las leyes para prevenir los comportamientos violentos, reducir el consumo excesivo de alcohol y limitar el acceso de los jóvenes a las armas de fuego y de otro tipo. Las leyes que prohíben comportamientos violentos como los abusos sexuales o los castigos violentos a los niños ponen de manifiesto que la sociedad no considera aceptables estas formas de conducta y permiten reclamar responsabilidades a quienes incurren en ellas. Las leyes y las políticas pueden servir también para mitigar los principales factores de riesgo de la violencia contra los niños.</w:t>
      </w:r>
      <w:r w:rsidRPr="004E7897">
        <w:rPr>
          <w:rFonts w:ascii="Arial Narrow" w:eastAsia="Calibri" w:hAnsi="Arial Narrow" w:cs="Times New Roman"/>
          <w:sz w:val="24"/>
          <w:szCs w:val="24"/>
          <w:vertAlign w:val="superscript"/>
        </w:rPr>
        <w:footnoteReference w:id="1"/>
      </w:r>
    </w:p>
    <w:p w:rsidR="00C422E9" w:rsidRPr="004E7897" w:rsidRDefault="00C422E9" w:rsidP="00C422E9">
      <w:pPr>
        <w:spacing w:line="240" w:lineRule="auto"/>
        <w:jc w:val="both"/>
        <w:rPr>
          <w:rFonts w:ascii="Arial Narrow" w:eastAsia="Calibri" w:hAnsi="Arial Narrow" w:cs="Times New Roman"/>
          <w:sz w:val="24"/>
          <w:szCs w:val="24"/>
        </w:rPr>
      </w:pPr>
      <w:r w:rsidRPr="004E7897">
        <w:rPr>
          <w:rFonts w:ascii="Arial Narrow" w:eastAsia="Calibri" w:hAnsi="Arial Narrow" w:cs="Times New Roman"/>
          <w:sz w:val="24"/>
          <w:szCs w:val="24"/>
        </w:rPr>
        <w:t>En esa medida, se recomienda a los Países miembros crear leyes que proscriban los actos violentos y más aún aquellas que establezcan garantías de protección y prevención de los menores frente a circunstancias de riesgo; así, la iniciativa en mención busca materializar dichas garantías mediante la configuración de un régimen de inhabilidades para desempeñar  cargos, empleos, oficios o profesiones ejercidos en ámbitos educacionales o que involucren una relación directa y habitual con personas menores de edad derivado de sentencias condenatorias por delitos sexuales contra menores de edad, como la creación del registro de inhabilidades que debe ser verificado al momento de contratar en dichos oficios, como un forma de mermar los riesgos socioculturales relacionados con los delitos al desarrollarse relaciones de desigualdad y subordinación de poder entre adultos, niños, niñas que poseen antecedentes respecto a las conductas punibles sexuales.</w:t>
      </w:r>
    </w:p>
    <w:p w:rsidR="000F7B27" w:rsidRPr="004E7897" w:rsidRDefault="00C422E9" w:rsidP="00C422E9">
      <w:pPr>
        <w:spacing w:line="240" w:lineRule="auto"/>
        <w:jc w:val="both"/>
        <w:rPr>
          <w:rFonts w:ascii="Arial Narrow" w:eastAsia="Calibri" w:hAnsi="Arial Narrow" w:cs="Times New Roman"/>
          <w:sz w:val="24"/>
          <w:szCs w:val="24"/>
        </w:rPr>
      </w:pPr>
      <w:r w:rsidRPr="004E7897">
        <w:rPr>
          <w:rFonts w:ascii="Arial Narrow" w:eastAsia="Calibri" w:hAnsi="Arial Narrow" w:cs="Times New Roman"/>
          <w:sz w:val="24"/>
          <w:szCs w:val="24"/>
        </w:rPr>
        <w:t xml:space="preserve">La medida busca la protección del menor frente a la falta de garantías en los procesos de resocialización al interior de los establecimientos carcelarios, dada las situaciones precarias en las cuales se encuentra en sistema carcelario </w:t>
      </w:r>
      <w:r w:rsidR="006A6CD2" w:rsidRPr="004E7897">
        <w:rPr>
          <w:rFonts w:ascii="Arial Narrow" w:eastAsia="Calibri" w:hAnsi="Arial Narrow" w:cs="Times New Roman"/>
          <w:sz w:val="24"/>
          <w:szCs w:val="24"/>
        </w:rPr>
        <w:t>colombiano</w:t>
      </w:r>
      <w:r w:rsidRPr="004E7897">
        <w:rPr>
          <w:rFonts w:ascii="Arial Narrow" w:eastAsia="Calibri" w:hAnsi="Arial Narrow" w:cs="Times New Roman"/>
          <w:sz w:val="24"/>
          <w:szCs w:val="24"/>
        </w:rPr>
        <w:t xml:space="preserve"> y la ausencia de política criminal de rehabilitación frente a delitos sexuales. </w:t>
      </w:r>
    </w:p>
    <w:p w:rsidR="00C422E9" w:rsidRPr="004E7897" w:rsidRDefault="00C422E9" w:rsidP="00C422E9">
      <w:pPr>
        <w:numPr>
          <w:ilvl w:val="0"/>
          <w:numId w:val="9"/>
        </w:numPr>
        <w:spacing w:line="240" w:lineRule="auto"/>
        <w:jc w:val="both"/>
        <w:rPr>
          <w:rFonts w:ascii="Arial Narrow" w:eastAsia="Times New Roman" w:hAnsi="Arial Narrow" w:cs="Arial"/>
          <w:b/>
          <w:sz w:val="24"/>
          <w:szCs w:val="24"/>
          <w:lang w:eastAsia="es-ES"/>
        </w:rPr>
      </w:pPr>
      <w:r w:rsidRPr="004E7897">
        <w:rPr>
          <w:rFonts w:ascii="Arial Narrow" w:eastAsia="Times New Roman" w:hAnsi="Arial Narrow" w:cs="Arial"/>
          <w:b/>
          <w:sz w:val="24"/>
          <w:szCs w:val="24"/>
          <w:lang w:eastAsia="es-ES"/>
        </w:rPr>
        <w:t xml:space="preserve">CIFRAS VIOLENCIA SEXUAL MENORES DE </w:t>
      </w:r>
      <w:r w:rsidR="006A6CD2" w:rsidRPr="004E7897">
        <w:rPr>
          <w:rFonts w:ascii="Arial Narrow" w:eastAsia="Times New Roman" w:hAnsi="Arial Narrow" w:cs="Arial"/>
          <w:b/>
          <w:sz w:val="24"/>
          <w:szCs w:val="24"/>
          <w:lang w:eastAsia="es-ES"/>
        </w:rPr>
        <w:t>EDAD EN</w:t>
      </w:r>
      <w:r w:rsidRPr="004E7897">
        <w:rPr>
          <w:rFonts w:ascii="Arial Narrow" w:eastAsia="Times New Roman" w:hAnsi="Arial Narrow" w:cs="Arial"/>
          <w:b/>
          <w:sz w:val="24"/>
          <w:szCs w:val="24"/>
          <w:lang w:eastAsia="es-ES"/>
        </w:rPr>
        <w:t xml:space="preserve"> COLOMBIA </w:t>
      </w:r>
    </w:p>
    <w:p w:rsidR="00C422E9" w:rsidRPr="004E7897" w:rsidRDefault="00C422E9" w:rsidP="00C422E9">
      <w:pPr>
        <w:spacing w:line="240" w:lineRule="auto"/>
        <w:jc w:val="both"/>
        <w:rPr>
          <w:rFonts w:ascii="Arial Narrow" w:eastAsia="Times New Roman" w:hAnsi="Arial Narrow" w:cs="Arial"/>
          <w:sz w:val="24"/>
          <w:szCs w:val="24"/>
          <w:lang w:eastAsia="es-ES"/>
        </w:rPr>
      </w:pPr>
      <w:r w:rsidRPr="004E7897">
        <w:rPr>
          <w:rFonts w:ascii="Arial Narrow" w:eastAsia="Times New Roman" w:hAnsi="Arial Narrow" w:cs="Arial"/>
          <w:sz w:val="24"/>
          <w:szCs w:val="24"/>
          <w:lang w:eastAsia="es-ES"/>
        </w:rPr>
        <w:t>En torno a los actos de violencia sexual en menores las cifras son preocupantes, cada hora dos niños o niñas son agredidos sexualmente en Colombia, el estudio, que recoge datos del Instituto de Nacional de Medicina Legal y Ciencias Forenses, revelan que aproximadamente cada día en el país 39 niños o niñas son víctimas de abuso sexual, siendo el principal escenario del delito el hogar de la víctima con un 40 %.</w:t>
      </w:r>
    </w:p>
    <w:p w:rsidR="00C422E9" w:rsidRPr="004E7897" w:rsidRDefault="00C422E9" w:rsidP="00C422E9">
      <w:pPr>
        <w:spacing w:line="240" w:lineRule="auto"/>
        <w:jc w:val="both"/>
        <w:rPr>
          <w:rFonts w:ascii="Arial Narrow" w:eastAsia="Times New Roman" w:hAnsi="Arial Narrow" w:cs="Arial"/>
          <w:sz w:val="24"/>
          <w:szCs w:val="24"/>
          <w:lang w:eastAsia="es-ES"/>
        </w:rPr>
      </w:pPr>
      <w:r w:rsidRPr="004E7897">
        <w:rPr>
          <w:rFonts w:ascii="Arial Narrow" w:eastAsia="Times New Roman" w:hAnsi="Arial Narrow" w:cs="Arial"/>
          <w:sz w:val="24"/>
          <w:szCs w:val="24"/>
          <w:lang w:eastAsia="es-ES"/>
        </w:rPr>
        <w:t xml:space="preserve">De acuerdo con datos aportados por el Instituto nacional de salud, para el primer semestre del año 2015 el total de niños, niñas y adolescentes reportados por el Sistema de Vigilancia en todas las violencias de género fue de 17.643, de los cuales el 69,6% (12.275) fueron niñas y el 30,4% (5.368) fueron niños. </w:t>
      </w:r>
      <w:r w:rsidR="006A6CD2" w:rsidRPr="004E7897">
        <w:rPr>
          <w:rFonts w:ascii="Arial Narrow" w:eastAsia="Times New Roman" w:hAnsi="Arial Narrow" w:cs="Arial"/>
          <w:sz w:val="24"/>
          <w:szCs w:val="24"/>
          <w:lang w:eastAsia="es-ES"/>
        </w:rPr>
        <w:t>Del total</w:t>
      </w:r>
      <w:r w:rsidRPr="004E7897">
        <w:rPr>
          <w:rFonts w:ascii="Arial Narrow" w:eastAsia="Times New Roman" w:hAnsi="Arial Narrow" w:cs="Arial"/>
          <w:sz w:val="24"/>
          <w:szCs w:val="24"/>
          <w:lang w:eastAsia="es-ES"/>
        </w:rPr>
        <w:t xml:space="preserve"> el 40.5% fueron violencias sexuales, 6.195 casos en niñas y 960 en niños entre los 0 y 19 años de edad.</w:t>
      </w:r>
    </w:p>
    <w:p w:rsidR="00C422E9" w:rsidRPr="004E7897" w:rsidRDefault="00C422E9" w:rsidP="00C422E9">
      <w:p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sz w:val="24"/>
          <w:szCs w:val="24"/>
          <w:lang w:val="es-ES_tradnl" w:eastAsia="es-ES"/>
        </w:rPr>
        <w:t xml:space="preserve">La distribución por edad en niñas y niños registró que el 49.84% de los casos se presentaron en las edades de 10 a 14 años, seguido de 5 a 9 años con un porcentaje de 20,99%, de 15 a 19 años se reportó en un 15,82% y en las edades de 0 a 4 años de edad con  un 13.35%.  Para las niñas el mayor número de casos se registró en las edades de 10 a 14 años (3.297), a diferencia de los niños que en </w:t>
      </w:r>
      <w:r w:rsidRPr="004E7897">
        <w:rPr>
          <w:rFonts w:ascii="Arial Narrow" w:eastAsia="Times New Roman" w:hAnsi="Arial Narrow" w:cs="Arial"/>
          <w:sz w:val="24"/>
          <w:szCs w:val="24"/>
          <w:lang w:val="es-ES_tradnl" w:eastAsia="es-ES"/>
        </w:rPr>
        <w:lastRenderedPageBreak/>
        <w:t xml:space="preserve">la edad en la que más se registraron casos fue de 5 a 9 años (373), seguido de los niños de 10 a 14 años. </w:t>
      </w:r>
    </w:p>
    <w:p w:rsidR="00C422E9" w:rsidRPr="004E7897" w:rsidRDefault="00C422E9" w:rsidP="00C422E9">
      <w:p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sz w:val="24"/>
          <w:szCs w:val="24"/>
          <w:lang w:val="es-ES_tradnl" w:eastAsia="es-ES"/>
        </w:rPr>
        <w:t xml:space="preserve">Las formas de violencias sexuales que se reportaron fueron </w:t>
      </w:r>
      <w:r w:rsidR="000F7B27" w:rsidRPr="004E7897">
        <w:rPr>
          <w:rFonts w:ascii="Arial Narrow" w:eastAsia="Times New Roman" w:hAnsi="Arial Narrow" w:cs="Arial"/>
          <w:sz w:val="24"/>
          <w:szCs w:val="24"/>
          <w:lang w:val="es-ES_tradnl" w:eastAsia="es-ES"/>
        </w:rPr>
        <w:t>abuso sexual</w:t>
      </w:r>
      <w:r w:rsidRPr="004E7897">
        <w:rPr>
          <w:rFonts w:ascii="Arial Narrow" w:eastAsia="Times New Roman" w:hAnsi="Arial Narrow" w:cs="Arial"/>
          <w:sz w:val="24"/>
          <w:szCs w:val="24"/>
          <w:lang w:val="es-ES_tradnl" w:eastAsia="es-ES"/>
        </w:rPr>
        <w:t xml:space="preserve"> con un 83,5% de los casos, violación con un 6.3%, actos sexuales abusivos 5.5%, acoso sexual con un 4.3% y 0,1% trata con fines de explotación y explotación sexual. Si bien las violencias sexuales que más se reportan en niños y niñas son los actos sexuales abusivos, el abuso sexual, el acoso sexual y la violación, se reportaron en niñas 13 casos y en niños 2 casos de explotación sexual comercial.     </w:t>
      </w:r>
    </w:p>
    <w:p w:rsidR="00C422E9" w:rsidRPr="004E7897" w:rsidRDefault="00C422E9" w:rsidP="00C422E9">
      <w:pPr>
        <w:spacing w:line="240" w:lineRule="auto"/>
        <w:jc w:val="both"/>
        <w:rPr>
          <w:rFonts w:ascii="Arial Narrow" w:eastAsia="Times New Roman" w:hAnsi="Arial Narrow" w:cs="Arial"/>
          <w:bCs/>
          <w:sz w:val="24"/>
          <w:szCs w:val="24"/>
          <w:lang w:val="es-ES_tradnl" w:eastAsia="es-ES"/>
        </w:rPr>
      </w:pPr>
      <w:r w:rsidRPr="004E7897">
        <w:rPr>
          <w:rFonts w:ascii="Arial Narrow" w:eastAsia="Times New Roman" w:hAnsi="Arial Narrow" w:cs="Arial"/>
          <w:bCs/>
          <w:sz w:val="24"/>
          <w:szCs w:val="24"/>
          <w:lang w:val="es-ES_tradnl" w:eastAsia="es-ES"/>
        </w:rPr>
        <w:t>Tomado de</w:t>
      </w:r>
      <w:r w:rsidRPr="004E7897">
        <w:rPr>
          <w:rFonts w:ascii="Arial Narrow" w:eastAsia="Times New Roman" w:hAnsi="Arial Narrow" w:cs="Arial"/>
          <w:sz w:val="24"/>
          <w:szCs w:val="24"/>
          <w:lang w:val="es-ES_tradnl" w:eastAsia="es-ES"/>
        </w:rPr>
        <w:t xml:space="preserve"> </w:t>
      </w:r>
      <w:r w:rsidRPr="004E7897">
        <w:rPr>
          <w:rFonts w:ascii="Arial Narrow" w:eastAsia="Times New Roman" w:hAnsi="Arial Narrow" w:cs="Arial"/>
          <w:bCs/>
          <w:sz w:val="24"/>
          <w:szCs w:val="24"/>
          <w:lang w:val="es-ES_tradnl" w:eastAsia="es-ES"/>
        </w:rPr>
        <w:t>informe de cumplimiento de la ley 1146 de 2007 “por medio de la cual se expiden normas para la prevención de la violencia sexual y atención integral de los niños, niñas y adolescentes abusados sexualmente Tabla 6. Número de casos por formas de violencia sexual por edad y sexo en Colombia. Año 2015 I semestre</w:t>
      </w:r>
    </w:p>
    <w:p w:rsidR="00C422E9" w:rsidRPr="004E7897" w:rsidRDefault="00C422E9" w:rsidP="0042334C">
      <w:pPr>
        <w:spacing w:line="240" w:lineRule="auto"/>
        <w:jc w:val="both"/>
        <w:rPr>
          <w:rFonts w:ascii="Arial Narrow" w:eastAsia="Times New Roman" w:hAnsi="Arial Narrow" w:cs="Arial"/>
          <w:sz w:val="24"/>
          <w:szCs w:val="24"/>
          <w:lang w:val="es-ES" w:eastAsia="es-ES"/>
        </w:rPr>
      </w:pPr>
    </w:p>
    <w:tbl>
      <w:tblPr>
        <w:tblStyle w:val="TableNormal"/>
        <w:tblW w:w="84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37"/>
        <w:gridCol w:w="852"/>
        <w:gridCol w:w="553"/>
        <w:gridCol w:w="829"/>
        <w:gridCol w:w="806"/>
        <w:gridCol w:w="580"/>
        <w:gridCol w:w="691"/>
        <w:gridCol w:w="691"/>
        <w:gridCol w:w="806"/>
        <w:gridCol w:w="691"/>
        <w:gridCol w:w="694"/>
      </w:tblGrid>
      <w:tr w:rsidR="00C422E9" w:rsidRPr="004E7897" w:rsidTr="004672A1">
        <w:trPr>
          <w:trHeight w:val="210"/>
        </w:trPr>
        <w:tc>
          <w:tcPr>
            <w:tcW w:w="1237" w:type="dxa"/>
            <w:vMerge w:val="restart"/>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 xml:space="preserve">Violencias sexuales </w:t>
            </w:r>
          </w:p>
        </w:tc>
        <w:tc>
          <w:tcPr>
            <w:tcW w:w="3620" w:type="dxa"/>
            <w:gridSpan w:val="5"/>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Niñas</w:t>
            </w:r>
          </w:p>
        </w:tc>
        <w:tc>
          <w:tcPr>
            <w:tcW w:w="3573" w:type="dxa"/>
            <w:gridSpan w:val="5"/>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 xml:space="preserve">Niños </w:t>
            </w:r>
          </w:p>
        </w:tc>
      </w:tr>
      <w:tr w:rsidR="00C422E9" w:rsidRPr="004E7897" w:rsidTr="004672A1">
        <w:trPr>
          <w:trHeight w:val="408"/>
        </w:trPr>
        <w:tc>
          <w:tcPr>
            <w:tcW w:w="1237" w:type="dxa"/>
            <w:vMerge/>
            <w:tcBorders>
              <w:top w:val="single" w:sz="8" w:space="0" w:color="000000"/>
              <w:left w:val="single" w:sz="8" w:space="0" w:color="000000"/>
              <w:bottom w:val="single" w:sz="8" w:space="0" w:color="000000"/>
              <w:right w:val="single" w:sz="8" w:space="0" w:color="000000"/>
            </w:tcBorders>
            <w:shd w:val="clear" w:color="auto" w:fill="CED7E7"/>
            <w:vAlign w:val="center"/>
            <w:hideMark/>
          </w:tcPr>
          <w:p w:rsidR="00C422E9" w:rsidRPr="004E7897" w:rsidRDefault="00C422E9" w:rsidP="00C422E9">
            <w:pPr>
              <w:rPr>
                <w:rFonts w:ascii="Arial Narrow" w:eastAsia="Calibri" w:hAnsi="Arial Narrow" w:cs="Calibri"/>
                <w:sz w:val="24"/>
                <w:szCs w:val="24"/>
                <w:u w:color="000000"/>
                <w:lang w:val="es-ES_tradnl"/>
              </w:rPr>
            </w:pPr>
          </w:p>
        </w:tc>
        <w:tc>
          <w:tcPr>
            <w:tcW w:w="852" w:type="dxa"/>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0 a 4</w:t>
            </w:r>
          </w:p>
        </w:tc>
        <w:tc>
          <w:tcPr>
            <w:tcW w:w="553" w:type="dxa"/>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5 a 9</w:t>
            </w:r>
          </w:p>
        </w:tc>
        <w:tc>
          <w:tcPr>
            <w:tcW w:w="829" w:type="dxa"/>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10 a 14</w:t>
            </w:r>
          </w:p>
        </w:tc>
        <w:tc>
          <w:tcPr>
            <w:tcW w:w="806" w:type="dxa"/>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15 a 19</w:t>
            </w:r>
          </w:p>
        </w:tc>
        <w:tc>
          <w:tcPr>
            <w:tcW w:w="580" w:type="dxa"/>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T</w:t>
            </w:r>
          </w:p>
        </w:tc>
        <w:tc>
          <w:tcPr>
            <w:tcW w:w="691" w:type="dxa"/>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0 a 4</w:t>
            </w:r>
          </w:p>
        </w:tc>
        <w:tc>
          <w:tcPr>
            <w:tcW w:w="691" w:type="dxa"/>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5 a 9</w:t>
            </w:r>
          </w:p>
        </w:tc>
        <w:tc>
          <w:tcPr>
            <w:tcW w:w="806" w:type="dxa"/>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10 a 14</w:t>
            </w:r>
          </w:p>
        </w:tc>
        <w:tc>
          <w:tcPr>
            <w:tcW w:w="691" w:type="dxa"/>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15 a 19</w:t>
            </w:r>
          </w:p>
        </w:tc>
        <w:tc>
          <w:tcPr>
            <w:tcW w:w="694" w:type="dxa"/>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T</w:t>
            </w:r>
          </w:p>
        </w:tc>
      </w:tr>
      <w:tr w:rsidR="00C422E9" w:rsidRPr="004E7897" w:rsidTr="004672A1">
        <w:trPr>
          <w:trHeight w:val="408"/>
        </w:trPr>
        <w:tc>
          <w:tcPr>
            <w:tcW w:w="1237"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 xml:space="preserve"> Abuso Sexual </w:t>
            </w:r>
          </w:p>
        </w:tc>
        <w:tc>
          <w:tcPr>
            <w:tcW w:w="852"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636</w:t>
            </w:r>
          </w:p>
        </w:tc>
        <w:tc>
          <w:tcPr>
            <w:tcW w:w="553"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972</w:t>
            </w:r>
          </w:p>
        </w:tc>
        <w:tc>
          <w:tcPr>
            <w:tcW w:w="829"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2796</w:t>
            </w:r>
          </w:p>
        </w:tc>
        <w:tc>
          <w:tcPr>
            <w:tcW w:w="806"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767</w:t>
            </w:r>
          </w:p>
        </w:tc>
        <w:tc>
          <w:tcPr>
            <w:tcW w:w="580" w:type="dxa"/>
            <w:tcBorders>
              <w:top w:val="single" w:sz="8" w:space="0" w:color="000000"/>
              <w:left w:val="single" w:sz="8" w:space="0" w:color="000000"/>
              <w:bottom w:val="nil"/>
              <w:right w:val="single" w:sz="8" w:space="0" w:color="000000"/>
            </w:tcBorders>
            <w:shd w:val="clear" w:color="auto" w:fill="D9D9D9"/>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5.171</w:t>
            </w:r>
          </w:p>
        </w:tc>
        <w:tc>
          <w:tcPr>
            <w:tcW w:w="691"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203</w:t>
            </w:r>
          </w:p>
        </w:tc>
        <w:tc>
          <w:tcPr>
            <w:tcW w:w="691"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327</w:t>
            </w:r>
          </w:p>
        </w:tc>
        <w:tc>
          <w:tcPr>
            <w:tcW w:w="806"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209</w:t>
            </w:r>
          </w:p>
        </w:tc>
        <w:tc>
          <w:tcPr>
            <w:tcW w:w="691"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61</w:t>
            </w:r>
          </w:p>
        </w:tc>
        <w:tc>
          <w:tcPr>
            <w:tcW w:w="694" w:type="dxa"/>
            <w:tcBorders>
              <w:top w:val="single" w:sz="8" w:space="0" w:color="000000"/>
              <w:left w:val="single" w:sz="8" w:space="0" w:color="000000"/>
              <w:bottom w:val="nil"/>
              <w:right w:val="single" w:sz="8" w:space="0" w:color="000000"/>
            </w:tcBorders>
            <w:shd w:val="clear" w:color="auto" w:fill="D9D9D9"/>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800</w:t>
            </w:r>
          </w:p>
        </w:tc>
      </w:tr>
      <w:tr w:rsidR="00C422E9" w:rsidRPr="004E7897" w:rsidTr="004672A1">
        <w:trPr>
          <w:trHeight w:val="210"/>
        </w:trPr>
        <w:tc>
          <w:tcPr>
            <w:tcW w:w="123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 xml:space="preserve">Acoso Sexual </w:t>
            </w:r>
          </w:p>
        </w:tc>
        <w:tc>
          <w:tcPr>
            <w:tcW w:w="8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30</w:t>
            </w:r>
          </w:p>
        </w:tc>
        <w:tc>
          <w:tcPr>
            <w:tcW w:w="55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54</w:t>
            </w:r>
          </w:p>
        </w:tc>
        <w:tc>
          <w:tcPr>
            <w:tcW w:w="829"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141</w:t>
            </w:r>
          </w:p>
        </w:tc>
        <w:tc>
          <w:tcPr>
            <w:tcW w:w="806"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41</w:t>
            </w:r>
          </w:p>
        </w:tc>
        <w:tc>
          <w:tcPr>
            <w:tcW w:w="580" w:type="dxa"/>
            <w:tcBorders>
              <w:top w:val="nil"/>
              <w:left w:val="single" w:sz="8" w:space="0" w:color="000000"/>
              <w:bottom w:val="nil"/>
              <w:right w:val="single" w:sz="8" w:space="0" w:color="000000"/>
            </w:tcBorders>
            <w:shd w:val="clear" w:color="auto" w:fill="D9D9D9"/>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266</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8</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17</w:t>
            </w:r>
          </w:p>
        </w:tc>
        <w:tc>
          <w:tcPr>
            <w:tcW w:w="806"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14</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6</w:t>
            </w:r>
          </w:p>
        </w:tc>
        <w:tc>
          <w:tcPr>
            <w:tcW w:w="694" w:type="dxa"/>
            <w:tcBorders>
              <w:top w:val="nil"/>
              <w:left w:val="single" w:sz="8" w:space="0" w:color="000000"/>
              <w:bottom w:val="nil"/>
              <w:right w:val="single" w:sz="8" w:space="0" w:color="000000"/>
            </w:tcBorders>
            <w:shd w:val="clear" w:color="auto" w:fill="D9D9D9"/>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45</w:t>
            </w:r>
          </w:p>
        </w:tc>
      </w:tr>
      <w:tr w:rsidR="00C422E9" w:rsidRPr="004E7897" w:rsidTr="004672A1">
        <w:trPr>
          <w:trHeight w:val="210"/>
        </w:trPr>
        <w:tc>
          <w:tcPr>
            <w:tcW w:w="123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 xml:space="preserve">Violación </w:t>
            </w:r>
          </w:p>
        </w:tc>
        <w:tc>
          <w:tcPr>
            <w:tcW w:w="8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15</w:t>
            </w:r>
          </w:p>
        </w:tc>
        <w:tc>
          <w:tcPr>
            <w:tcW w:w="55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40</w:t>
            </w:r>
          </w:p>
        </w:tc>
        <w:tc>
          <w:tcPr>
            <w:tcW w:w="829"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211</w:t>
            </w:r>
          </w:p>
        </w:tc>
        <w:tc>
          <w:tcPr>
            <w:tcW w:w="806"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152</w:t>
            </w:r>
          </w:p>
        </w:tc>
        <w:tc>
          <w:tcPr>
            <w:tcW w:w="580" w:type="dxa"/>
            <w:tcBorders>
              <w:top w:val="nil"/>
              <w:left w:val="single" w:sz="8" w:space="0" w:color="000000"/>
              <w:bottom w:val="nil"/>
              <w:right w:val="single" w:sz="8" w:space="0" w:color="000000"/>
            </w:tcBorders>
            <w:shd w:val="clear" w:color="auto" w:fill="D9D9D9"/>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418</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7</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10</w:t>
            </w:r>
          </w:p>
        </w:tc>
        <w:tc>
          <w:tcPr>
            <w:tcW w:w="806"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14</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5</w:t>
            </w:r>
          </w:p>
        </w:tc>
        <w:tc>
          <w:tcPr>
            <w:tcW w:w="694" w:type="dxa"/>
            <w:tcBorders>
              <w:top w:val="nil"/>
              <w:left w:val="single" w:sz="8" w:space="0" w:color="000000"/>
              <w:bottom w:val="nil"/>
              <w:right w:val="single" w:sz="8" w:space="0" w:color="000000"/>
            </w:tcBorders>
            <w:shd w:val="clear" w:color="auto" w:fill="D9D9D9"/>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36</w:t>
            </w:r>
          </w:p>
        </w:tc>
      </w:tr>
      <w:tr w:rsidR="00C422E9" w:rsidRPr="004E7897" w:rsidTr="004672A1">
        <w:trPr>
          <w:trHeight w:val="210"/>
        </w:trPr>
        <w:tc>
          <w:tcPr>
            <w:tcW w:w="123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EXNNA</w:t>
            </w:r>
          </w:p>
        </w:tc>
        <w:tc>
          <w:tcPr>
            <w:tcW w:w="8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 </w:t>
            </w:r>
          </w:p>
        </w:tc>
        <w:tc>
          <w:tcPr>
            <w:tcW w:w="55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 </w:t>
            </w:r>
          </w:p>
        </w:tc>
        <w:tc>
          <w:tcPr>
            <w:tcW w:w="829"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7</w:t>
            </w:r>
          </w:p>
        </w:tc>
        <w:tc>
          <w:tcPr>
            <w:tcW w:w="806"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6</w:t>
            </w:r>
          </w:p>
        </w:tc>
        <w:tc>
          <w:tcPr>
            <w:tcW w:w="580" w:type="dxa"/>
            <w:tcBorders>
              <w:top w:val="nil"/>
              <w:left w:val="single" w:sz="8" w:space="0" w:color="000000"/>
              <w:bottom w:val="nil"/>
              <w:right w:val="single" w:sz="8" w:space="0" w:color="000000"/>
            </w:tcBorders>
            <w:shd w:val="clear" w:color="auto" w:fill="D9D9D9"/>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13</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tcPr>
          <w:p w:rsidR="00C422E9" w:rsidRPr="004E7897" w:rsidRDefault="00C422E9" w:rsidP="00C422E9">
            <w:pPr>
              <w:spacing w:after="200"/>
              <w:rPr>
                <w:rFonts w:ascii="Arial Narrow" w:eastAsia="Calibri" w:hAnsi="Arial Narrow" w:cs="Calibri"/>
                <w:sz w:val="24"/>
                <w:szCs w:val="24"/>
                <w:u w:color="000000"/>
                <w:lang w:val="es-ES_tradnl"/>
              </w:rPr>
            </w:pPr>
          </w:p>
        </w:tc>
        <w:tc>
          <w:tcPr>
            <w:tcW w:w="806"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 </w:t>
            </w:r>
          </w:p>
        </w:tc>
        <w:tc>
          <w:tcPr>
            <w:tcW w:w="694" w:type="dxa"/>
            <w:tcBorders>
              <w:top w:val="nil"/>
              <w:left w:val="single" w:sz="8" w:space="0" w:color="000000"/>
              <w:bottom w:val="nil"/>
              <w:right w:val="single" w:sz="8" w:space="0" w:color="000000"/>
            </w:tcBorders>
            <w:shd w:val="clear" w:color="auto" w:fill="D9D9D9"/>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2</w:t>
            </w:r>
          </w:p>
        </w:tc>
      </w:tr>
      <w:tr w:rsidR="00C422E9" w:rsidRPr="004E7897" w:rsidTr="004672A1">
        <w:trPr>
          <w:trHeight w:val="408"/>
        </w:trPr>
        <w:tc>
          <w:tcPr>
            <w:tcW w:w="123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Turismo Sexual</w:t>
            </w:r>
          </w:p>
        </w:tc>
        <w:tc>
          <w:tcPr>
            <w:tcW w:w="8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 </w:t>
            </w:r>
          </w:p>
        </w:tc>
        <w:tc>
          <w:tcPr>
            <w:tcW w:w="55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 </w:t>
            </w:r>
          </w:p>
        </w:tc>
        <w:tc>
          <w:tcPr>
            <w:tcW w:w="829"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w:t>
            </w:r>
          </w:p>
        </w:tc>
        <w:tc>
          <w:tcPr>
            <w:tcW w:w="806"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 </w:t>
            </w:r>
          </w:p>
        </w:tc>
        <w:tc>
          <w:tcPr>
            <w:tcW w:w="580" w:type="dxa"/>
            <w:tcBorders>
              <w:top w:val="nil"/>
              <w:left w:val="single" w:sz="8" w:space="0" w:color="000000"/>
              <w:bottom w:val="nil"/>
              <w:right w:val="single" w:sz="8" w:space="0" w:color="000000"/>
            </w:tcBorders>
            <w:shd w:val="clear" w:color="auto" w:fill="D9D9D9"/>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 </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tcPr>
          <w:p w:rsidR="00C422E9" w:rsidRPr="004E7897" w:rsidRDefault="00C422E9" w:rsidP="00C422E9">
            <w:pPr>
              <w:spacing w:after="200"/>
              <w:rPr>
                <w:rFonts w:ascii="Arial Narrow" w:eastAsia="Calibri" w:hAnsi="Arial Narrow" w:cs="Calibri"/>
                <w:sz w:val="24"/>
                <w:szCs w:val="24"/>
                <w:u w:color="000000"/>
                <w:lang w:val="es-ES_tradnl"/>
              </w:rPr>
            </w:pPr>
          </w:p>
        </w:tc>
        <w:tc>
          <w:tcPr>
            <w:tcW w:w="806"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 </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w:t>
            </w:r>
          </w:p>
        </w:tc>
        <w:tc>
          <w:tcPr>
            <w:tcW w:w="694" w:type="dxa"/>
            <w:tcBorders>
              <w:top w:val="nil"/>
              <w:left w:val="single" w:sz="8" w:space="0" w:color="000000"/>
              <w:bottom w:val="nil"/>
              <w:right w:val="single" w:sz="8" w:space="0" w:color="000000"/>
            </w:tcBorders>
            <w:shd w:val="clear" w:color="auto" w:fill="D9D9D9"/>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w:t>
            </w:r>
          </w:p>
        </w:tc>
      </w:tr>
      <w:tr w:rsidR="00C422E9" w:rsidRPr="004E7897" w:rsidTr="004672A1">
        <w:trPr>
          <w:trHeight w:val="804"/>
        </w:trPr>
        <w:tc>
          <w:tcPr>
            <w:tcW w:w="123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 xml:space="preserve">Trata con fines de Explotación Sexual </w:t>
            </w:r>
          </w:p>
        </w:tc>
        <w:tc>
          <w:tcPr>
            <w:tcW w:w="8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 </w:t>
            </w:r>
          </w:p>
        </w:tc>
        <w:tc>
          <w:tcPr>
            <w:tcW w:w="55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 </w:t>
            </w:r>
          </w:p>
        </w:tc>
        <w:tc>
          <w:tcPr>
            <w:tcW w:w="829"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2</w:t>
            </w:r>
          </w:p>
        </w:tc>
        <w:tc>
          <w:tcPr>
            <w:tcW w:w="806"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3</w:t>
            </w:r>
          </w:p>
        </w:tc>
        <w:tc>
          <w:tcPr>
            <w:tcW w:w="580" w:type="dxa"/>
            <w:tcBorders>
              <w:top w:val="nil"/>
              <w:left w:val="single" w:sz="8" w:space="0" w:color="000000"/>
              <w:bottom w:val="nil"/>
              <w:right w:val="single" w:sz="8" w:space="0" w:color="000000"/>
            </w:tcBorders>
            <w:shd w:val="clear" w:color="auto" w:fill="D9D9D9"/>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5</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 </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tcPr>
          <w:p w:rsidR="00C422E9" w:rsidRPr="004E7897" w:rsidRDefault="00C422E9" w:rsidP="00C422E9">
            <w:pPr>
              <w:spacing w:after="200"/>
              <w:rPr>
                <w:rFonts w:ascii="Arial Narrow" w:eastAsia="Calibri" w:hAnsi="Arial Narrow" w:cs="Calibri"/>
                <w:sz w:val="24"/>
                <w:szCs w:val="24"/>
                <w:u w:color="000000"/>
                <w:lang w:val="es-ES_tradnl"/>
              </w:rPr>
            </w:pPr>
          </w:p>
        </w:tc>
        <w:tc>
          <w:tcPr>
            <w:tcW w:w="806"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 </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 </w:t>
            </w:r>
          </w:p>
        </w:tc>
        <w:tc>
          <w:tcPr>
            <w:tcW w:w="694" w:type="dxa"/>
            <w:tcBorders>
              <w:top w:val="nil"/>
              <w:left w:val="single" w:sz="8" w:space="0" w:color="000000"/>
              <w:bottom w:val="nil"/>
              <w:right w:val="single" w:sz="8" w:space="0" w:color="000000"/>
            </w:tcBorders>
            <w:shd w:val="clear" w:color="auto" w:fill="D9D9D9"/>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 </w:t>
            </w:r>
          </w:p>
        </w:tc>
      </w:tr>
      <w:tr w:rsidR="00C422E9" w:rsidRPr="004E7897" w:rsidTr="004672A1">
        <w:trPr>
          <w:trHeight w:val="408"/>
        </w:trPr>
        <w:tc>
          <w:tcPr>
            <w:tcW w:w="123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 xml:space="preserve">VX Conflicto Armado </w:t>
            </w:r>
          </w:p>
        </w:tc>
        <w:tc>
          <w:tcPr>
            <w:tcW w:w="8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 </w:t>
            </w:r>
          </w:p>
        </w:tc>
        <w:tc>
          <w:tcPr>
            <w:tcW w:w="55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 </w:t>
            </w:r>
          </w:p>
        </w:tc>
        <w:tc>
          <w:tcPr>
            <w:tcW w:w="829"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 </w:t>
            </w:r>
          </w:p>
        </w:tc>
        <w:tc>
          <w:tcPr>
            <w:tcW w:w="806"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w:t>
            </w:r>
          </w:p>
        </w:tc>
        <w:tc>
          <w:tcPr>
            <w:tcW w:w="580" w:type="dxa"/>
            <w:tcBorders>
              <w:top w:val="nil"/>
              <w:left w:val="single" w:sz="8" w:space="0" w:color="000000"/>
              <w:bottom w:val="nil"/>
              <w:right w:val="single" w:sz="8" w:space="0" w:color="000000"/>
            </w:tcBorders>
            <w:shd w:val="clear" w:color="auto" w:fill="D9D9D9"/>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 </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tcPr>
          <w:p w:rsidR="00C422E9" w:rsidRPr="004E7897" w:rsidRDefault="00C422E9" w:rsidP="00C422E9">
            <w:pPr>
              <w:spacing w:after="200"/>
              <w:rPr>
                <w:rFonts w:ascii="Arial Narrow" w:eastAsia="Calibri" w:hAnsi="Arial Narrow" w:cs="Calibri"/>
                <w:sz w:val="24"/>
                <w:szCs w:val="24"/>
                <w:u w:color="000000"/>
                <w:lang w:val="es-ES_tradnl"/>
              </w:rPr>
            </w:pPr>
          </w:p>
        </w:tc>
        <w:tc>
          <w:tcPr>
            <w:tcW w:w="806"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 </w:t>
            </w:r>
          </w:p>
        </w:tc>
        <w:tc>
          <w:tcPr>
            <w:tcW w:w="69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 </w:t>
            </w:r>
          </w:p>
        </w:tc>
        <w:tc>
          <w:tcPr>
            <w:tcW w:w="694" w:type="dxa"/>
            <w:tcBorders>
              <w:top w:val="nil"/>
              <w:left w:val="single" w:sz="8" w:space="0" w:color="000000"/>
              <w:bottom w:val="nil"/>
              <w:right w:val="single" w:sz="8" w:space="0" w:color="000000"/>
            </w:tcBorders>
            <w:shd w:val="clear" w:color="auto" w:fill="D9D9D9"/>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 </w:t>
            </w:r>
          </w:p>
        </w:tc>
      </w:tr>
      <w:tr w:rsidR="00C422E9" w:rsidRPr="004E7897" w:rsidTr="004672A1">
        <w:trPr>
          <w:trHeight w:val="606"/>
        </w:trPr>
        <w:tc>
          <w:tcPr>
            <w:tcW w:w="123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 xml:space="preserve">Actos Sexuales violentos </w:t>
            </w:r>
          </w:p>
        </w:tc>
        <w:tc>
          <w:tcPr>
            <w:tcW w:w="852"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33</w:t>
            </w:r>
          </w:p>
        </w:tc>
        <w:tc>
          <w:tcPr>
            <w:tcW w:w="553"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63</w:t>
            </w:r>
          </w:p>
        </w:tc>
        <w:tc>
          <w:tcPr>
            <w:tcW w:w="829"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139</w:t>
            </w:r>
          </w:p>
        </w:tc>
        <w:tc>
          <w:tcPr>
            <w:tcW w:w="806"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85</w:t>
            </w:r>
          </w:p>
        </w:tc>
        <w:tc>
          <w:tcPr>
            <w:tcW w:w="580" w:type="dxa"/>
            <w:tcBorders>
              <w:top w:val="nil"/>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320</w:t>
            </w:r>
          </w:p>
        </w:tc>
        <w:tc>
          <w:tcPr>
            <w:tcW w:w="691"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22</w:t>
            </w:r>
          </w:p>
        </w:tc>
        <w:tc>
          <w:tcPr>
            <w:tcW w:w="691"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19</w:t>
            </w:r>
          </w:p>
        </w:tc>
        <w:tc>
          <w:tcPr>
            <w:tcW w:w="806"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31</w:t>
            </w:r>
          </w:p>
        </w:tc>
        <w:tc>
          <w:tcPr>
            <w:tcW w:w="691"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4</w:t>
            </w:r>
          </w:p>
        </w:tc>
        <w:tc>
          <w:tcPr>
            <w:tcW w:w="694" w:type="dxa"/>
            <w:tcBorders>
              <w:top w:val="nil"/>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76</w:t>
            </w:r>
          </w:p>
        </w:tc>
      </w:tr>
      <w:tr w:rsidR="00C422E9" w:rsidRPr="004E7897" w:rsidTr="00C422E9">
        <w:trPr>
          <w:trHeight w:val="408"/>
        </w:trPr>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lastRenderedPageBreak/>
              <w:t>TOTAL</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714</w:t>
            </w:r>
          </w:p>
        </w:tc>
        <w:tc>
          <w:tcPr>
            <w:tcW w:w="55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1.129</w:t>
            </w:r>
          </w:p>
        </w:tc>
        <w:tc>
          <w:tcPr>
            <w:tcW w:w="82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3.297</w:t>
            </w:r>
          </w:p>
        </w:tc>
        <w:tc>
          <w:tcPr>
            <w:tcW w:w="80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1.055</w:t>
            </w: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6.195</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241</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373</w:t>
            </w:r>
          </w:p>
        </w:tc>
        <w:tc>
          <w:tcPr>
            <w:tcW w:w="80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269</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77</w:t>
            </w:r>
          </w:p>
        </w:tc>
        <w:tc>
          <w:tcPr>
            <w:tcW w:w="69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960</w:t>
            </w:r>
          </w:p>
        </w:tc>
      </w:tr>
    </w:tbl>
    <w:p w:rsidR="00C422E9" w:rsidRPr="004E7897" w:rsidRDefault="00C422E9" w:rsidP="00C422E9">
      <w:pPr>
        <w:spacing w:line="240" w:lineRule="auto"/>
        <w:jc w:val="both"/>
        <w:rPr>
          <w:rFonts w:ascii="Arial Narrow" w:eastAsia="Times New Roman" w:hAnsi="Arial Narrow" w:cs="Arial"/>
          <w:bCs/>
          <w:sz w:val="24"/>
          <w:szCs w:val="24"/>
          <w:lang w:val="es-ES_tradnl" w:eastAsia="es-ES"/>
        </w:rPr>
      </w:pPr>
      <w:r w:rsidRPr="004E7897">
        <w:rPr>
          <w:rFonts w:ascii="Arial Narrow" w:eastAsia="Times New Roman" w:hAnsi="Arial Narrow" w:cs="Arial"/>
          <w:b/>
          <w:bCs/>
          <w:sz w:val="24"/>
          <w:szCs w:val="24"/>
          <w:lang w:val="es-ES_tradnl" w:eastAsia="es-ES"/>
        </w:rPr>
        <w:t xml:space="preserve">   *Fuente: </w:t>
      </w:r>
      <w:r w:rsidRPr="004E7897">
        <w:rPr>
          <w:rFonts w:ascii="Arial Narrow" w:eastAsia="Times New Roman" w:hAnsi="Arial Narrow" w:cs="Arial"/>
          <w:bCs/>
          <w:sz w:val="24"/>
          <w:szCs w:val="24"/>
          <w:lang w:val="es-ES_tradnl" w:eastAsia="es-ES"/>
        </w:rPr>
        <w:t>Sistema de Vigilancia en Salud Pública de violencia de Género del Instituto Nacional de Salud.</w:t>
      </w:r>
    </w:p>
    <w:p w:rsidR="00C422E9" w:rsidRPr="004E7897" w:rsidRDefault="00C422E9" w:rsidP="00C422E9">
      <w:p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sz w:val="24"/>
          <w:szCs w:val="24"/>
          <w:lang w:val="es-ES_tradnl" w:eastAsia="es-ES"/>
        </w:rPr>
        <w:t xml:space="preserve">Los agresores sin relación familiar, se registraron en un 32,6% del total, de ellos el 20,82% fue el amigo (a), el 20,41% un desconocido, el 19,12% un vecino (a), un 13,14% conocido sin ningún trato, 3,83% un profesor y los demás agresores se registraron en menos del 2%.  </w:t>
      </w:r>
    </w:p>
    <w:p w:rsidR="00C422E9" w:rsidRPr="004E7897" w:rsidRDefault="00C422E9" w:rsidP="00C422E9">
      <w:pPr>
        <w:spacing w:line="240" w:lineRule="auto"/>
        <w:jc w:val="both"/>
        <w:rPr>
          <w:rFonts w:ascii="Arial Narrow" w:eastAsia="Times New Roman" w:hAnsi="Arial Narrow" w:cs="Arial"/>
          <w:bCs/>
          <w:sz w:val="24"/>
          <w:szCs w:val="24"/>
          <w:lang w:val="es-ES_tradnl" w:eastAsia="es-ES"/>
        </w:rPr>
      </w:pPr>
      <w:r w:rsidRPr="004E7897">
        <w:rPr>
          <w:rFonts w:ascii="Arial Narrow" w:eastAsia="Times New Roman" w:hAnsi="Arial Narrow" w:cs="Arial"/>
          <w:bCs/>
          <w:sz w:val="24"/>
          <w:szCs w:val="24"/>
          <w:lang w:val="es-ES_tradnl" w:eastAsia="es-ES"/>
        </w:rPr>
        <w:t>Tomado de</w:t>
      </w:r>
      <w:r w:rsidRPr="004E7897">
        <w:rPr>
          <w:rFonts w:ascii="Arial Narrow" w:eastAsia="Times New Roman" w:hAnsi="Arial Narrow" w:cs="Arial"/>
          <w:sz w:val="24"/>
          <w:szCs w:val="24"/>
          <w:lang w:val="es-ES_tradnl" w:eastAsia="es-ES"/>
        </w:rPr>
        <w:t xml:space="preserve"> </w:t>
      </w:r>
      <w:r w:rsidRPr="004E7897">
        <w:rPr>
          <w:rFonts w:ascii="Arial Narrow" w:eastAsia="Times New Roman" w:hAnsi="Arial Narrow" w:cs="Arial"/>
          <w:bCs/>
          <w:sz w:val="24"/>
          <w:szCs w:val="24"/>
          <w:lang w:val="es-ES_tradnl" w:eastAsia="es-ES"/>
        </w:rPr>
        <w:t>informe de cumplimiento de la ley 1146 de 2007 “por medio de la cual se expiden normas para la prevención de la violencia sexual y atención integral de los niños, niñas y adolescentes abusados sexualmente Tabla 8. Número de casos de violencia sexual por agresor no familiar y sexo en Colombia. Año 2015 I semestre.</w:t>
      </w:r>
    </w:p>
    <w:p w:rsidR="00C422E9" w:rsidRPr="004E7897" w:rsidRDefault="00C422E9" w:rsidP="00C422E9">
      <w:pPr>
        <w:spacing w:line="240" w:lineRule="auto"/>
        <w:jc w:val="both"/>
        <w:rPr>
          <w:rFonts w:ascii="Arial Narrow" w:eastAsia="Times New Roman" w:hAnsi="Arial Narrow" w:cs="Arial"/>
          <w:sz w:val="24"/>
          <w:szCs w:val="24"/>
          <w:lang w:val="es-ES_tradnl" w:eastAsia="es-ES"/>
        </w:rPr>
      </w:pPr>
    </w:p>
    <w:tbl>
      <w:tblPr>
        <w:tblStyle w:val="TableNormal"/>
        <w:tblW w:w="8325" w:type="dxa"/>
        <w:tblInd w:w="1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52"/>
        <w:gridCol w:w="1343"/>
        <w:gridCol w:w="1343"/>
        <w:gridCol w:w="1230"/>
        <w:gridCol w:w="1457"/>
      </w:tblGrid>
      <w:tr w:rsidR="00C422E9" w:rsidRPr="004E7897" w:rsidTr="00C422E9">
        <w:trPr>
          <w:trHeight w:val="201"/>
        </w:trPr>
        <w:tc>
          <w:tcPr>
            <w:tcW w:w="2952" w:type="dxa"/>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 xml:space="preserve">AGRESOR FAMILIAR </w:t>
            </w:r>
          </w:p>
        </w:tc>
        <w:tc>
          <w:tcPr>
            <w:tcW w:w="1343" w:type="dxa"/>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NIÑAS</w:t>
            </w:r>
          </w:p>
        </w:tc>
        <w:tc>
          <w:tcPr>
            <w:tcW w:w="1343" w:type="dxa"/>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 xml:space="preserve">NIÑOS </w:t>
            </w:r>
          </w:p>
        </w:tc>
        <w:tc>
          <w:tcPr>
            <w:tcW w:w="1230" w:type="dxa"/>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TOTAL</w:t>
            </w:r>
          </w:p>
        </w:tc>
        <w:tc>
          <w:tcPr>
            <w:tcW w:w="1457" w:type="dxa"/>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w:t>
            </w:r>
          </w:p>
        </w:tc>
      </w:tr>
      <w:tr w:rsidR="00C422E9" w:rsidRPr="004E7897" w:rsidTr="00C422E9">
        <w:trPr>
          <w:trHeight w:val="201"/>
        </w:trPr>
        <w:tc>
          <w:tcPr>
            <w:tcW w:w="2952"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bottom"/>
            <w:hideMark/>
          </w:tcPr>
          <w:p w:rsidR="00C422E9" w:rsidRPr="004E7897" w:rsidRDefault="00C422E9" w:rsidP="00C422E9">
            <w:pP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1. Profesor (a)</w:t>
            </w:r>
          </w:p>
        </w:tc>
        <w:tc>
          <w:tcPr>
            <w:tcW w:w="1343"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89</w:t>
            </w:r>
          </w:p>
        </w:tc>
        <w:tc>
          <w:tcPr>
            <w:tcW w:w="1343"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15</w:t>
            </w:r>
          </w:p>
        </w:tc>
        <w:tc>
          <w:tcPr>
            <w:tcW w:w="1230"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104</w:t>
            </w:r>
          </w:p>
        </w:tc>
        <w:tc>
          <w:tcPr>
            <w:tcW w:w="1457"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3,83</w:t>
            </w:r>
          </w:p>
        </w:tc>
      </w:tr>
      <w:tr w:rsidR="00C422E9" w:rsidRPr="004E7897" w:rsidTr="00C422E9">
        <w:trPr>
          <w:trHeight w:val="201"/>
        </w:trPr>
        <w:tc>
          <w:tcPr>
            <w:tcW w:w="29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hideMark/>
          </w:tcPr>
          <w:p w:rsidR="00C422E9" w:rsidRPr="004E7897" w:rsidRDefault="00C422E9" w:rsidP="00C422E9">
            <w:pP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2. Amigo(a)</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454</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111</w:t>
            </w:r>
          </w:p>
        </w:tc>
        <w:tc>
          <w:tcPr>
            <w:tcW w:w="123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565</w:t>
            </w:r>
          </w:p>
        </w:tc>
        <w:tc>
          <w:tcPr>
            <w:tcW w:w="145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20,82</w:t>
            </w:r>
          </w:p>
        </w:tc>
      </w:tr>
      <w:tr w:rsidR="00C422E9" w:rsidRPr="004E7897" w:rsidTr="00C422E9">
        <w:trPr>
          <w:trHeight w:val="201"/>
        </w:trPr>
        <w:tc>
          <w:tcPr>
            <w:tcW w:w="29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hideMark/>
          </w:tcPr>
          <w:p w:rsidR="00C422E9" w:rsidRPr="004E7897" w:rsidRDefault="00C422E9" w:rsidP="00C422E9">
            <w:pP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3. Compañero de Trabajo(a)</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15</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12</w:t>
            </w:r>
          </w:p>
        </w:tc>
        <w:tc>
          <w:tcPr>
            <w:tcW w:w="123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27</w:t>
            </w:r>
          </w:p>
        </w:tc>
        <w:tc>
          <w:tcPr>
            <w:tcW w:w="145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0,99</w:t>
            </w:r>
          </w:p>
        </w:tc>
      </w:tr>
      <w:tr w:rsidR="00C422E9" w:rsidRPr="004E7897" w:rsidTr="00C422E9">
        <w:trPr>
          <w:trHeight w:val="201"/>
        </w:trPr>
        <w:tc>
          <w:tcPr>
            <w:tcW w:w="29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hideMark/>
          </w:tcPr>
          <w:p w:rsidR="00C422E9" w:rsidRPr="004E7897" w:rsidRDefault="00C422E9" w:rsidP="00C422E9">
            <w:pP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4. Compañero de estudio(a)</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45</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30</w:t>
            </w:r>
          </w:p>
        </w:tc>
        <w:tc>
          <w:tcPr>
            <w:tcW w:w="123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75</w:t>
            </w:r>
          </w:p>
        </w:tc>
        <w:tc>
          <w:tcPr>
            <w:tcW w:w="145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2,76</w:t>
            </w:r>
          </w:p>
        </w:tc>
      </w:tr>
      <w:tr w:rsidR="00C422E9" w:rsidRPr="004E7897" w:rsidTr="00C422E9">
        <w:trPr>
          <w:trHeight w:val="201"/>
        </w:trPr>
        <w:tc>
          <w:tcPr>
            <w:tcW w:w="29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hideMark/>
          </w:tcPr>
          <w:p w:rsidR="00C422E9" w:rsidRPr="004E7897" w:rsidRDefault="00C422E9" w:rsidP="00C422E9">
            <w:pP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5. Custodio (a)</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 </w:t>
            </w:r>
          </w:p>
        </w:tc>
        <w:tc>
          <w:tcPr>
            <w:tcW w:w="123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w:t>
            </w:r>
          </w:p>
        </w:tc>
        <w:tc>
          <w:tcPr>
            <w:tcW w:w="145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0,04</w:t>
            </w:r>
          </w:p>
        </w:tc>
      </w:tr>
      <w:tr w:rsidR="00C422E9" w:rsidRPr="004E7897" w:rsidTr="00C422E9">
        <w:trPr>
          <w:trHeight w:val="201"/>
        </w:trPr>
        <w:tc>
          <w:tcPr>
            <w:tcW w:w="29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hideMark/>
          </w:tcPr>
          <w:p w:rsidR="00C422E9" w:rsidRPr="004E7897" w:rsidRDefault="00C422E9" w:rsidP="00C422E9">
            <w:pP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 xml:space="preserve">6. Desconocido </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495</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59</w:t>
            </w:r>
          </w:p>
        </w:tc>
        <w:tc>
          <w:tcPr>
            <w:tcW w:w="123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554</w:t>
            </w:r>
          </w:p>
        </w:tc>
        <w:tc>
          <w:tcPr>
            <w:tcW w:w="145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20,41</w:t>
            </w:r>
          </w:p>
        </w:tc>
      </w:tr>
      <w:tr w:rsidR="00C422E9" w:rsidRPr="004E7897" w:rsidTr="00C422E9">
        <w:trPr>
          <w:trHeight w:val="201"/>
        </w:trPr>
        <w:tc>
          <w:tcPr>
            <w:tcW w:w="29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hideMark/>
          </w:tcPr>
          <w:p w:rsidR="00C422E9" w:rsidRPr="004E7897" w:rsidRDefault="00C422E9" w:rsidP="00C422E9">
            <w:pP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7. Vecino (a)</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409</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110</w:t>
            </w:r>
          </w:p>
        </w:tc>
        <w:tc>
          <w:tcPr>
            <w:tcW w:w="123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519</w:t>
            </w:r>
          </w:p>
        </w:tc>
        <w:tc>
          <w:tcPr>
            <w:tcW w:w="145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19,12</w:t>
            </w:r>
          </w:p>
        </w:tc>
      </w:tr>
      <w:tr w:rsidR="00C422E9" w:rsidRPr="004E7897" w:rsidTr="00C422E9">
        <w:trPr>
          <w:trHeight w:val="201"/>
        </w:trPr>
        <w:tc>
          <w:tcPr>
            <w:tcW w:w="29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hideMark/>
          </w:tcPr>
          <w:p w:rsidR="00C422E9" w:rsidRPr="004E7897" w:rsidRDefault="00C422E9" w:rsidP="00C422E9">
            <w:pP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 xml:space="preserve">8. Conocido sin ningún trato </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299</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63</w:t>
            </w:r>
          </w:p>
        </w:tc>
        <w:tc>
          <w:tcPr>
            <w:tcW w:w="123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362</w:t>
            </w:r>
          </w:p>
        </w:tc>
        <w:tc>
          <w:tcPr>
            <w:tcW w:w="145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13,34</w:t>
            </w:r>
          </w:p>
        </w:tc>
      </w:tr>
      <w:tr w:rsidR="00C422E9" w:rsidRPr="004E7897" w:rsidTr="00C422E9">
        <w:trPr>
          <w:trHeight w:val="201"/>
        </w:trPr>
        <w:tc>
          <w:tcPr>
            <w:tcW w:w="29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hideMark/>
          </w:tcPr>
          <w:p w:rsidR="00C422E9" w:rsidRPr="004E7897" w:rsidRDefault="00C422E9" w:rsidP="00C422E9">
            <w:pP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 xml:space="preserve">9. Sin información </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5</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 </w:t>
            </w:r>
          </w:p>
        </w:tc>
        <w:tc>
          <w:tcPr>
            <w:tcW w:w="123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5</w:t>
            </w:r>
          </w:p>
        </w:tc>
        <w:tc>
          <w:tcPr>
            <w:tcW w:w="145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0,18</w:t>
            </w:r>
          </w:p>
        </w:tc>
      </w:tr>
      <w:tr w:rsidR="00C422E9" w:rsidRPr="004E7897" w:rsidTr="00C422E9">
        <w:trPr>
          <w:trHeight w:val="201"/>
        </w:trPr>
        <w:tc>
          <w:tcPr>
            <w:tcW w:w="29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hideMark/>
          </w:tcPr>
          <w:p w:rsidR="00C422E9" w:rsidRPr="004E7897" w:rsidRDefault="00C422E9" w:rsidP="00C422E9">
            <w:pP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10. Otro</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356</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59</w:t>
            </w:r>
          </w:p>
        </w:tc>
        <w:tc>
          <w:tcPr>
            <w:tcW w:w="123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415</w:t>
            </w:r>
          </w:p>
        </w:tc>
        <w:tc>
          <w:tcPr>
            <w:tcW w:w="145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15,29</w:t>
            </w:r>
          </w:p>
        </w:tc>
      </w:tr>
      <w:tr w:rsidR="00C422E9" w:rsidRPr="004E7897" w:rsidTr="00C422E9">
        <w:trPr>
          <w:trHeight w:val="201"/>
        </w:trPr>
        <w:tc>
          <w:tcPr>
            <w:tcW w:w="29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hideMark/>
          </w:tcPr>
          <w:p w:rsidR="00C422E9" w:rsidRPr="004E7897" w:rsidRDefault="00C422E9" w:rsidP="00C422E9">
            <w:pP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11. Mi jefe</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66</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12</w:t>
            </w:r>
          </w:p>
        </w:tc>
        <w:tc>
          <w:tcPr>
            <w:tcW w:w="123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78</w:t>
            </w:r>
          </w:p>
        </w:tc>
        <w:tc>
          <w:tcPr>
            <w:tcW w:w="145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2,87</w:t>
            </w:r>
          </w:p>
        </w:tc>
      </w:tr>
      <w:tr w:rsidR="00C422E9" w:rsidRPr="004E7897" w:rsidTr="00C422E9">
        <w:trPr>
          <w:trHeight w:val="201"/>
        </w:trPr>
        <w:tc>
          <w:tcPr>
            <w:tcW w:w="2952"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hideMark/>
          </w:tcPr>
          <w:p w:rsidR="00C422E9" w:rsidRPr="004E7897" w:rsidRDefault="00C422E9" w:rsidP="00C422E9">
            <w:pP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12. Sacerdote/Pastor</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2</w:t>
            </w:r>
          </w:p>
        </w:tc>
        <w:tc>
          <w:tcPr>
            <w:tcW w:w="1343"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2</w:t>
            </w:r>
          </w:p>
        </w:tc>
        <w:tc>
          <w:tcPr>
            <w:tcW w:w="123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4</w:t>
            </w:r>
          </w:p>
        </w:tc>
        <w:tc>
          <w:tcPr>
            <w:tcW w:w="145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0,15</w:t>
            </w:r>
          </w:p>
        </w:tc>
      </w:tr>
      <w:tr w:rsidR="00C422E9" w:rsidRPr="004E7897" w:rsidTr="00C422E9">
        <w:trPr>
          <w:trHeight w:val="201"/>
        </w:trPr>
        <w:tc>
          <w:tcPr>
            <w:tcW w:w="2952"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hideMark/>
          </w:tcPr>
          <w:p w:rsidR="00C422E9" w:rsidRPr="004E7897" w:rsidRDefault="00C422E9" w:rsidP="00C422E9">
            <w:pP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 xml:space="preserve">13. Servidor Publico </w:t>
            </w:r>
          </w:p>
        </w:tc>
        <w:tc>
          <w:tcPr>
            <w:tcW w:w="1343"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3</w:t>
            </w:r>
          </w:p>
        </w:tc>
        <w:tc>
          <w:tcPr>
            <w:tcW w:w="1343"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2</w:t>
            </w:r>
          </w:p>
        </w:tc>
        <w:tc>
          <w:tcPr>
            <w:tcW w:w="1230"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5</w:t>
            </w:r>
          </w:p>
        </w:tc>
        <w:tc>
          <w:tcPr>
            <w:tcW w:w="145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0,18</w:t>
            </w:r>
          </w:p>
        </w:tc>
      </w:tr>
      <w:tr w:rsidR="00C422E9" w:rsidRPr="004E7897" w:rsidTr="00C422E9">
        <w:trPr>
          <w:trHeight w:val="201"/>
        </w:trPr>
        <w:tc>
          <w:tcPr>
            <w:tcW w:w="29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Total general</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2.239</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475</w:t>
            </w:r>
          </w:p>
        </w:tc>
        <w:tc>
          <w:tcPr>
            <w:tcW w:w="12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2.714</w:t>
            </w:r>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C422E9" w:rsidRPr="004E7897" w:rsidRDefault="00C422E9" w:rsidP="00C422E9">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100,00</w:t>
            </w:r>
          </w:p>
        </w:tc>
      </w:tr>
    </w:tbl>
    <w:p w:rsidR="00C422E9" w:rsidRPr="004E7897" w:rsidRDefault="00C422E9" w:rsidP="00C422E9">
      <w:pPr>
        <w:spacing w:line="240" w:lineRule="auto"/>
        <w:jc w:val="both"/>
        <w:rPr>
          <w:rFonts w:ascii="Arial Narrow" w:eastAsia="Times New Roman" w:hAnsi="Arial Narrow" w:cs="Arial"/>
          <w:bCs/>
          <w:sz w:val="24"/>
          <w:szCs w:val="24"/>
          <w:lang w:val="es-ES_tradnl" w:eastAsia="es-ES"/>
        </w:rPr>
      </w:pPr>
      <w:r w:rsidRPr="004E7897">
        <w:rPr>
          <w:rFonts w:ascii="Arial Narrow" w:eastAsia="Times New Roman" w:hAnsi="Arial Narrow" w:cs="Arial"/>
          <w:bCs/>
          <w:sz w:val="24"/>
          <w:szCs w:val="24"/>
          <w:lang w:val="es-ES_tradnl" w:eastAsia="es-ES"/>
        </w:rPr>
        <w:t xml:space="preserve">     *Fuente: Sistema de Vigilancia en Salud Pública de la violencia de Género</w:t>
      </w:r>
    </w:p>
    <w:p w:rsidR="000F7B27" w:rsidRDefault="000F7B27" w:rsidP="00C422E9">
      <w:pPr>
        <w:spacing w:line="240" w:lineRule="auto"/>
        <w:jc w:val="both"/>
        <w:rPr>
          <w:rFonts w:ascii="Arial Narrow" w:eastAsia="Times New Roman" w:hAnsi="Arial Narrow" w:cs="Arial"/>
          <w:sz w:val="24"/>
          <w:szCs w:val="24"/>
          <w:lang w:val="es-ES_tradnl" w:eastAsia="es-ES"/>
        </w:rPr>
      </w:pPr>
    </w:p>
    <w:p w:rsidR="00C422E9" w:rsidRPr="004E7897" w:rsidRDefault="00C422E9" w:rsidP="00C422E9">
      <w:p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sz w:val="24"/>
          <w:szCs w:val="24"/>
          <w:lang w:val="es-ES_tradnl" w:eastAsia="es-ES"/>
        </w:rPr>
        <w:t xml:space="preserve">Los delitos que más se registraron tanto en niños como niñas de acuerdo con las estadísticas reportadas por la Policía Nacional fueron acceso carnal abusivo con menor de 14 años (48,92%), acto </w:t>
      </w:r>
      <w:r w:rsidRPr="004E7897">
        <w:rPr>
          <w:rFonts w:ascii="Arial Narrow" w:eastAsia="Times New Roman" w:hAnsi="Arial Narrow" w:cs="Arial"/>
          <w:sz w:val="24"/>
          <w:szCs w:val="24"/>
          <w:lang w:val="es-ES_tradnl" w:eastAsia="es-ES"/>
        </w:rPr>
        <w:lastRenderedPageBreak/>
        <w:t xml:space="preserve">sexual violento (15,90%)  y acceso carnal violento (13,73%), los demás delitos se reportaron en un porcentaje menor 10%.  Los primeros seis delitos con mayor porcentaje se registran igual en niños y niñas. Pero luego se presentan delitos diferentes, en los dos sexos, en niñas se reportó el acceso carnal o acto sexual en persona puesta en incapacidad de </w:t>
      </w:r>
      <w:r w:rsidR="006A6CD2" w:rsidRPr="004E7897">
        <w:rPr>
          <w:rFonts w:ascii="Arial Narrow" w:eastAsia="Times New Roman" w:hAnsi="Arial Narrow" w:cs="Arial"/>
          <w:sz w:val="24"/>
          <w:szCs w:val="24"/>
          <w:lang w:val="es-ES_tradnl" w:eastAsia="es-ES"/>
        </w:rPr>
        <w:t>resistir, explotación</w:t>
      </w:r>
      <w:r w:rsidRPr="004E7897">
        <w:rPr>
          <w:rFonts w:ascii="Arial Narrow" w:eastAsia="Times New Roman" w:hAnsi="Arial Narrow" w:cs="Arial"/>
          <w:sz w:val="24"/>
          <w:szCs w:val="24"/>
          <w:lang w:val="es-ES_tradnl" w:eastAsia="es-ES"/>
        </w:rPr>
        <w:t xml:space="preserve"> sexual </w:t>
      </w:r>
      <w:r w:rsidR="006A6CD2" w:rsidRPr="004E7897">
        <w:rPr>
          <w:rFonts w:ascii="Arial Narrow" w:eastAsia="Times New Roman" w:hAnsi="Arial Narrow" w:cs="Arial"/>
          <w:sz w:val="24"/>
          <w:szCs w:val="24"/>
          <w:lang w:val="es-ES_tradnl" w:eastAsia="es-ES"/>
        </w:rPr>
        <w:t>y pornografía</w:t>
      </w:r>
      <w:r w:rsidRPr="004E7897">
        <w:rPr>
          <w:rFonts w:ascii="Arial Narrow" w:eastAsia="Times New Roman" w:hAnsi="Arial Narrow" w:cs="Arial"/>
          <w:sz w:val="24"/>
          <w:szCs w:val="24"/>
          <w:lang w:val="es-ES_tradnl" w:eastAsia="es-ES"/>
        </w:rPr>
        <w:t xml:space="preserve"> con menores, entre otros. </w:t>
      </w:r>
    </w:p>
    <w:p w:rsidR="00C422E9" w:rsidRPr="004E7897" w:rsidRDefault="00C422E9" w:rsidP="00C422E9">
      <w:pPr>
        <w:spacing w:line="240" w:lineRule="auto"/>
        <w:jc w:val="both"/>
        <w:rPr>
          <w:rFonts w:ascii="Arial Narrow" w:eastAsia="Times New Roman" w:hAnsi="Arial Narrow" w:cs="Arial"/>
          <w:b/>
          <w:bCs/>
          <w:sz w:val="24"/>
          <w:szCs w:val="24"/>
          <w:lang w:val="es-ES_tradnl" w:eastAsia="es-ES"/>
        </w:rPr>
      </w:pPr>
      <w:r w:rsidRPr="004E7897">
        <w:rPr>
          <w:rFonts w:ascii="Arial Narrow" w:eastAsia="Times New Roman" w:hAnsi="Arial Narrow" w:cs="Arial"/>
          <w:bCs/>
          <w:sz w:val="24"/>
          <w:szCs w:val="24"/>
          <w:lang w:val="es-ES_tradnl" w:eastAsia="es-ES"/>
        </w:rPr>
        <w:t>Tomado de</w:t>
      </w:r>
      <w:r w:rsidRPr="004E7897">
        <w:rPr>
          <w:rFonts w:ascii="Arial Narrow" w:eastAsia="Times New Roman" w:hAnsi="Arial Narrow" w:cs="Arial"/>
          <w:sz w:val="24"/>
          <w:szCs w:val="24"/>
          <w:lang w:val="es-ES_tradnl" w:eastAsia="es-ES"/>
        </w:rPr>
        <w:t xml:space="preserve"> </w:t>
      </w:r>
      <w:r w:rsidRPr="004E7897">
        <w:rPr>
          <w:rFonts w:ascii="Arial Narrow" w:eastAsia="Times New Roman" w:hAnsi="Arial Narrow" w:cs="Arial"/>
          <w:bCs/>
          <w:sz w:val="24"/>
          <w:szCs w:val="24"/>
          <w:lang w:val="es-ES_tradnl" w:eastAsia="es-ES"/>
        </w:rPr>
        <w:t xml:space="preserve">informe de cumplimiento de la ley 1146 de 2007 “por medio de la cual se expiden normas para la prevención de la violencia sexual y atención integral de los niños, niñas y adolescentes abusados sexualmente </w:t>
      </w:r>
      <w:r w:rsidRPr="004E7897">
        <w:rPr>
          <w:rFonts w:ascii="Arial Narrow" w:eastAsia="Times New Roman" w:hAnsi="Arial Narrow" w:cs="Arial"/>
          <w:b/>
          <w:bCs/>
          <w:sz w:val="24"/>
          <w:szCs w:val="24"/>
          <w:lang w:val="es-ES_tradnl" w:eastAsia="es-ES"/>
        </w:rPr>
        <w:t>Tabla 18. Casos por presuntos delitos de violencia sexual según sexo. Colombia enero a junio de 2015.</w:t>
      </w:r>
    </w:p>
    <w:p w:rsidR="00C422E9" w:rsidRPr="004E7897" w:rsidRDefault="00C422E9" w:rsidP="0042334C">
      <w:pPr>
        <w:spacing w:line="240" w:lineRule="auto"/>
        <w:jc w:val="both"/>
        <w:rPr>
          <w:rFonts w:ascii="Arial Narrow" w:eastAsia="Times New Roman" w:hAnsi="Arial Narrow" w:cs="Arial"/>
          <w:sz w:val="24"/>
          <w:szCs w:val="24"/>
          <w:lang w:val="es-ES" w:eastAsia="es-ES"/>
        </w:rPr>
      </w:pPr>
    </w:p>
    <w:tbl>
      <w:tblPr>
        <w:tblStyle w:val="TableNormal"/>
        <w:tblW w:w="8280" w:type="dxa"/>
        <w:tblInd w:w="1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744"/>
        <w:gridCol w:w="1134"/>
        <w:gridCol w:w="992"/>
        <w:gridCol w:w="1134"/>
        <w:gridCol w:w="1276"/>
      </w:tblGrid>
      <w:tr w:rsidR="004672A1" w:rsidRPr="004E7897" w:rsidTr="004672A1">
        <w:trPr>
          <w:trHeight w:val="209"/>
          <w:tblHeader/>
        </w:trPr>
        <w:tc>
          <w:tcPr>
            <w:tcW w:w="3744" w:type="dxa"/>
            <w:tcBorders>
              <w:top w:val="single" w:sz="8" w:space="0" w:color="000000"/>
              <w:left w:val="single" w:sz="8" w:space="0" w:color="000000"/>
              <w:bottom w:val="single" w:sz="4" w:space="0" w:color="000000"/>
              <w:right w:val="single" w:sz="8" w:space="0" w:color="000000"/>
            </w:tcBorders>
            <w:shd w:val="clear" w:color="auto" w:fill="E6E6E6"/>
            <w:tcMar>
              <w:top w:w="80" w:type="dxa"/>
              <w:left w:w="80" w:type="dxa"/>
              <w:bottom w:w="80" w:type="dxa"/>
              <w:right w:w="80" w:type="dxa"/>
            </w:tcMar>
            <w:vAlign w:val="bottom"/>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 xml:space="preserve">DELITO </w:t>
            </w:r>
          </w:p>
        </w:tc>
        <w:tc>
          <w:tcPr>
            <w:tcW w:w="1134" w:type="dxa"/>
            <w:tcBorders>
              <w:top w:val="single" w:sz="8" w:space="0" w:color="000000"/>
              <w:left w:val="single" w:sz="8" w:space="0" w:color="000000"/>
              <w:bottom w:val="single" w:sz="4" w:space="0" w:color="000000"/>
              <w:right w:val="single" w:sz="8" w:space="0" w:color="000000"/>
            </w:tcBorders>
            <w:shd w:val="clear" w:color="auto" w:fill="E6E6E6"/>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NIÑAS</w:t>
            </w:r>
          </w:p>
        </w:tc>
        <w:tc>
          <w:tcPr>
            <w:tcW w:w="992" w:type="dxa"/>
            <w:tcBorders>
              <w:top w:val="single" w:sz="8" w:space="0" w:color="000000"/>
              <w:left w:val="single" w:sz="8" w:space="0" w:color="000000"/>
              <w:bottom w:val="single" w:sz="4" w:space="0" w:color="000000"/>
              <w:right w:val="single" w:sz="8" w:space="0" w:color="000000"/>
            </w:tcBorders>
            <w:shd w:val="clear" w:color="auto" w:fill="E6E6E6"/>
            <w:tcMar>
              <w:top w:w="80" w:type="dxa"/>
              <w:left w:w="80" w:type="dxa"/>
              <w:bottom w:w="80" w:type="dxa"/>
              <w:right w:w="80" w:type="dxa"/>
            </w:tcMar>
            <w:vAlign w:val="bottom"/>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 xml:space="preserve">NIÑOS </w:t>
            </w:r>
          </w:p>
        </w:tc>
        <w:tc>
          <w:tcPr>
            <w:tcW w:w="1134" w:type="dxa"/>
            <w:tcBorders>
              <w:top w:val="single" w:sz="8" w:space="0" w:color="000000"/>
              <w:left w:val="single" w:sz="8" w:space="0" w:color="000000"/>
              <w:bottom w:val="single" w:sz="4" w:space="0" w:color="000000"/>
              <w:right w:val="single" w:sz="8" w:space="0" w:color="000000"/>
            </w:tcBorders>
            <w:shd w:val="clear" w:color="auto" w:fill="E6E6E6"/>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TOTAL</w:t>
            </w:r>
          </w:p>
        </w:tc>
        <w:tc>
          <w:tcPr>
            <w:tcW w:w="1276" w:type="dxa"/>
            <w:tcBorders>
              <w:top w:val="single" w:sz="8" w:space="0" w:color="000000"/>
              <w:left w:val="single" w:sz="8" w:space="0" w:color="000000"/>
              <w:bottom w:val="single" w:sz="4" w:space="0" w:color="000000"/>
              <w:right w:val="single" w:sz="8" w:space="0" w:color="000000"/>
            </w:tcBorders>
            <w:shd w:val="clear" w:color="auto" w:fill="E6E6E6"/>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w:t>
            </w:r>
          </w:p>
        </w:tc>
      </w:tr>
      <w:tr w:rsidR="004672A1" w:rsidRPr="004E7897" w:rsidTr="004672A1">
        <w:trPr>
          <w:trHeight w:val="404"/>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both"/>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ARTÍCULO 205. ACCESO CARNAL VIOLENTO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153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171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13,73</w:t>
            </w:r>
          </w:p>
        </w:tc>
      </w:tr>
      <w:tr w:rsidR="004672A1" w:rsidRPr="004E7897" w:rsidTr="004672A1">
        <w:trPr>
          <w:trHeight w:val="204"/>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both"/>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ARTÍCULO 206. ACTO SEXUAL VIOLENTO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171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198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15,90</w:t>
            </w:r>
          </w:p>
        </w:tc>
      </w:tr>
      <w:tr w:rsidR="004672A1" w:rsidRPr="004E7897" w:rsidTr="004672A1">
        <w:trPr>
          <w:trHeight w:val="604"/>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both"/>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ARTÍCULO 207. ACCESO CARNAL O ACTO SEXUAL EN PERSONA PUESTA EN INCAPACIDAD DE RESISTIR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0,40</w:t>
            </w:r>
          </w:p>
        </w:tc>
      </w:tr>
      <w:tr w:rsidR="004672A1" w:rsidRPr="004E7897" w:rsidTr="004672A1">
        <w:trPr>
          <w:trHeight w:val="404"/>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both"/>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ARTÍCULO 208. ACCESO CARNAL ABUSIVO CON MENOR DE 14 AÑOS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523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86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609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48,92</w:t>
            </w:r>
          </w:p>
        </w:tc>
      </w:tr>
      <w:tr w:rsidR="004672A1" w:rsidRPr="004E7897" w:rsidTr="004672A1">
        <w:trPr>
          <w:trHeight w:val="404"/>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both"/>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ARTÍCULO 209. ACTOS SEXUALES CON MENOR DE 14 AÑOS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88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8,27</w:t>
            </w:r>
          </w:p>
        </w:tc>
      </w:tr>
      <w:tr w:rsidR="004672A1" w:rsidRPr="004E7897" w:rsidTr="004672A1">
        <w:trPr>
          <w:trHeight w:val="204"/>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both"/>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ARTÍCULO 210 A. ACOSO SEXUAL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57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61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4,90</w:t>
            </w:r>
          </w:p>
        </w:tc>
      </w:tr>
      <w:tr w:rsidR="004672A1" w:rsidRPr="004E7897" w:rsidTr="004672A1">
        <w:trPr>
          <w:trHeight w:val="604"/>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both"/>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ARTÍCULO 210. ACCESO CARNAL O ACTO SEXUAL ABUSIVO CON INCAPAZ DE RESISTIR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0,96</w:t>
            </w:r>
          </w:p>
        </w:tc>
      </w:tr>
      <w:tr w:rsidR="004672A1" w:rsidRPr="004E7897" w:rsidTr="004672A1">
        <w:trPr>
          <w:trHeight w:val="604"/>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both"/>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ARTÍCULO 211. ACCESO CARNAL ABUSIVO CON MENOR DE 14 AÑOS (CIRCUNSTANCIAS AGRAVACIÓN)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0,16</w:t>
            </w:r>
          </w:p>
        </w:tc>
      </w:tr>
      <w:tr w:rsidR="004672A1" w:rsidRPr="004E7897" w:rsidTr="004672A1">
        <w:trPr>
          <w:trHeight w:val="604"/>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both"/>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ARTÍCULO 211. ACCESO CARNAL O ACTO SEXUAL ABUSIVO CON INCAPAZ DE RESISTIR (CIRCUNSTANCIAS AGRAVACIÓN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0,48</w:t>
            </w:r>
          </w:p>
        </w:tc>
      </w:tr>
      <w:tr w:rsidR="004672A1" w:rsidRPr="004E7897" w:rsidTr="004672A1">
        <w:trPr>
          <w:trHeight w:val="804"/>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both"/>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 xml:space="preserve">ARTÍCULO 211. ACCESO CARNAL O ACTO SEXUAL EN PERSONA PUESTA </w:t>
            </w:r>
            <w:r w:rsidRPr="004E7897">
              <w:rPr>
                <w:rFonts w:ascii="Arial Narrow" w:eastAsia="Calibri" w:hAnsi="Arial Narrow" w:cs="Calibri"/>
                <w:sz w:val="24"/>
                <w:szCs w:val="24"/>
                <w:u w:color="000000"/>
                <w:lang w:val="es-ES_tradnl"/>
              </w:rPr>
              <w:lastRenderedPageBreak/>
              <w:t>EN INCAPACIDAD DE RESISTIR (CIRCUNSTANC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lastRenderedPageBreak/>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0,72</w:t>
            </w:r>
          </w:p>
        </w:tc>
      </w:tr>
      <w:tr w:rsidR="004672A1" w:rsidRPr="004E7897" w:rsidTr="004672A1">
        <w:trPr>
          <w:trHeight w:val="604"/>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both"/>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lastRenderedPageBreak/>
              <w:t>ARTÍCULO 211. ACCESO CARNAL VIOLENTO (CIRCUNSTANCIAS AGRAVACIÓN)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0,08</w:t>
            </w:r>
          </w:p>
        </w:tc>
      </w:tr>
      <w:tr w:rsidR="004672A1" w:rsidRPr="004E7897" w:rsidTr="004672A1">
        <w:trPr>
          <w:trHeight w:val="604"/>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both"/>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ARTÍCULO 211. ACTOS SEXUALES CON MENOR DE 14 AÑOS (CIRCUNSTANCIAS DE AGRAVACIÓN)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0,64</w:t>
            </w:r>
          </w:p>
        </w:tc>
      </w:tr>
      <w:tr w:rsidR="004672A1" w:rsidRPr="004E7897" w:rsidTr="004672A1">
        <w:trPr>
          <w:trHeight w:val="404"/>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both"/>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ARTÍCULO 213. INDUCCIÓN A LA PROSTITUCIÓN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0,24</w:t>
            </w:r>
          </w:p>
        </w:tc>
      </w:tr>
      <w:tr w:rsidR="004672A1" w:rsidRPr="004E7897" w:rsidTr="004672A1">
        <w:trPr>
          <w:trHeight w:val="404"/>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both"/>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ARTÍCULO 218. PORNOGRAFÍA CON MENORES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57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4,58</w:t>
            </w:r>
          </w:p>
        </w:tc>
      </w:tr>
      <w:tr w:rsidR="004672A1" w:rsidRPr="004E7897" w:rsidTr="004672A1">
        <w:trPr>
          <w:trHeight w:val="209"/>
        </w:trPr>
        <w:tc>
          <w:tcPr>
            <w:tcW w:w="3744"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TOTAL</w:t>
            </w:r>
          </w:p>
        </w:tc>
        <w:tc>
          <w:tcPr>
            <w:tcW w:w="1134"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1080</w:t>
            </w:r>
          </w:p>
        </w:tc>
        <w:tc>
          <w:tcPr>
            <w:tcW w:w="992"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165</w:t>
            </w:r>
          </w:p>
        </w:tc>
        <w:tc>
          <w:tcPr>
            <w:tcW w:w="1134"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b/>
                <w:bCs/>
                <w:sz w:val="24"/>
                <w:szCs w:val="24"/>
                <w:u w:color="000000"/>
                <w:lang w:val="es-ES_tradnl"/>
              </w:rPr>
              <w:t>1245</w:t>
            </w:r>
          </w:p>
        </w:tc>
        <w:tc>
          <w:tcPr>
            <w:tcW w:w="1276"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4672A1" w:rsidRPr="004E7897" w:rsidRDefault="004672A1" w:rsidP="004672A1">
            <w:pPr>
              <w:jc w:val="center"/>
              <w:rPr>
                <w:rFonts w:ascii="Arial Narrow" w:eastAsia="Calibri" w:hAnsi="Arial Narrow" w:cs="Calibri"/>
                <w:sz w:val="24"/>
                <w:szCs w:val="24"/>
                <w:u w:color="000000"/>
                <w:lang w:val="es-ES_tradnl"/>
              </w:rPr>
            </w:pPr>
            <w:r w:rsidRPr="004E7897">
              <w:rPr>
                <w:rFonts w:ascii="Arial Narrow" w:eastAsia="Calibri" w:hAnsi="Arial Narrow" w:cs="Calibri"/>
                <w:sz w:val="24"/>
                <w:szCs w:val="24"/>
                <w:u w:color="000000"/>
                <w:lang w:val="es-ES_tradnl"/>
              </w:rPr>
              <w:t>100,00</w:t>
            </w:r>
          </w:p>
        </w:tc>
      </w:tr>
    </w:tbl>
    <w:p w:rsidR="004672A1" w:rsidRPr="004E7897" w:rsidRDefault="004672A1" w:rsidP="004672A1">
      <w:pPr>
        <w:spacing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*Fuente: Observatorio del delito-DIJIN PONAL. Ministerio de Defensa Nacional Dirección de estudios estratégicos -  Información preliminar sujeta a variación de violencia sexual</w:t>
      </w:r>
    </w:p>
    <w:p w:rsidR="000F7B27" w:rsidRDefault="000F7B27" w:rsidP="004672A1">
      <w:pPr>
        <w:spacing w:line="240" w:lineRule="auto"/>
        <w:jc w:val="both"/>
        <w:rPr>
          <w:rFonts w:ascii="Arial Narrow" w:eastAsia="Times New Roman" w:hAnsi="Arial Narrow" w:cs="Arial"/>
          <w:sz w:val="24"/>
          <w:szCs w:val="24"/>
          <w:lang w:val="es-ES" w:eastAsia="es-ES"/>
        </w:rPr>
      </w:pPr>
    </w:p>
    <w:p w:rsidR="004672A1" w:rsidRPr="004E7897" w:rsidRDefault="004672A1" w:rsidP="004672A1">
      <w:pPr>
        <w:spacing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La información hace referencia al Sistema de Información Estadística de la Rama Judicial -SIERJU donde se reportó la información de las principales ciudades (Distritos) del país de acuerdo a los circuitos que hacen parte de ella, así:</w:t>
      </w:r>
    </w:p>
    <w:p w:rsidR="004672A1" w:rsidRPr="004E7897" w:rsidRDefault="004672A1" w:rsidP="004672A1">
      <w:pPr>
        <w:pStyle w:val="Prrafodelista"/>
        <w:numPr>
          <w:ilvl w:val="0"/>
          <w:numId w:val="14"/>
        </w:numPr>
        <w:spacing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Barranquilla: con su circuito propio, además de Sabanalarga y Soledad</w:t>
      </w:r>
    </w:p>
    <w:p w:rsidR="004672A1" w:rsidRPr="004E7897" w:rsidRDefault="004672A1" w:rsidP="004672A1">
      <w:pPr>
        <w:pStyle w:val="Prrafodelista"/>
        <w:numPr>
          <w:ilvl w:val="0"/>
          <w:numId w:val="14"/>
        </w:numPr>
        <w:spacing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Buenaventura: que pertenece al Distrito de Buga;</w:t>
      </w:r>
    </w:p>
    <w:p w:rsidR="004672A1" w:rsidRPr="004E7897" w:rsidRDefault="004672A1" w:rsidP="004672A1">
      <w:pPr>
        <w:pStyle w:val="Prrafodelista"/>
        <w:numPr>
          <w:ilvl w:val="0"/>
          <w:numId w:val="14"/>
        </w:numPr>
        <w:spacing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Cartagena:  con su propio circuito y el de Carmen de Bolívar, Magangué, Mompós, Simití y Turbaco; y,</w:t>
      </w:r>
    </w:p>
    <w:p w:rsidR="004672A1" w:rsidRPr="004E7897" w:rsidRDefault="004672A1" w:rsidP="004672A1">
      <w:pPr>
        <w:pStyle w:val="Prrafodelista"/>
        <w:numPr>
          <w:ilvl w:val="0"/>
          <w:numId w:val="14"/>
        </w:numPr>
        <w:spacing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 xml:space="preserve">Santa Marta: con Ciénaga, El Banco, Fundación, Pivijay, Plato, y  el suyo propio.  </w:t>
      </w:r>
    </w:p>
    <w:p w:rsidR="004672A1" w:rsidRPr="004E7897" w:rsidRDefault="004672A1" w:rsidP="004672A1">
      <w:pPr>
        <w:spacing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 xml:space="preserve">El sistema de información SIERJU no cuenta información de víctima, por eso se reportará el número de casos como ingresos y egresos efectivos realizados durante enero a junio del 2015. </w:t>
      </w:r>
    </w:p>
    <w:p w:rsidR="004672A1" w:rsidRPr="004E7897" w:rsidRDefault="004672A1" w:rsidP="004672A1">
      <w:pPr>
        <w:spacing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 xml:space="preserve">En ese sentido, en total ingresaron a la Rama Judicial 13.026 delitos de violencia sexual, así: </w:t>
      </w:r>
    </w:p>
    <w:p w:rsidR="004672A1" w:rsidRPr="004E7897" w:rsidRDefault="004672A1" w:rsidP="004672A1">
      <w:pPr>
        <w:spacing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w:t>
      </w:r>
      <w:r w:rsidRPr="004E7897">
        <w:rPr>
          <w:rFonts w:ascii="Arial Narrow" w:eastAsia="Times New Roman" w:hAnsi="Arial Narrow" w:cs="Arial"/>
          <w:sz w:val="24"/>
          <w:szCs w:val="24"/>
          <w:lang w:val="es-ES" w:eastAsia="es-ES"/>
        </w:rPr>
        <w:tab/>
        <w:t xml:space="preserve">Contra la libertad, integridad y formación sexuales, de actos sexuales abusivos - actos sexuales con menor de catorce años (24,91%), </w:t>
      </w:r>
    </w:p>
    <w:p w:rsidR="004672A1" w:rsidRPr="004E7897" w:rsidRDefault="004672A1" w:rsidP="004672A1">
      <w:pPr>
        <w:spacing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w:t>
      </w:r>
      <w:r w:rsidRPr="004E7897">
        <w:rPr>
          <w:rFonts w:ascii="Arial Narrow" w:eastAsia="Times New Roman" w:hAnsi="Arial Narrow" w:cs="Arial"/>
          <w:sz w:val="24"/>
          <w:szCs w:val="24"/>
          <w:lang w:val="es-ES" w:eastAsia="es-ES"/>
        </w:rPr>
        <w:tab/>
        <w:t xml:space="preserve">Contra la libertad, integridad y formación sexuales, de los actos sexuales abusivos - Acceso carnal abusivo con menor de catorce años (21,35,%), </w:t>
      </w:r>
    </w:p>
    <w:p w:rsidR="004672A1" w:rsidRPr="004E7897" w:rsidRDefault="004672A1" w:rsidP="004672A1">
      <w:pPr>
        <w:spacing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w:t>
      </w:r>
      <w:r w:rsidRPr="004E7897">
        <w:rPr>
          <w:rFonts w:ascii="Arial Narrow" w:eastAsia="Times New Roman" w:hAnsi="Arial Narrow" w:cs="Arial"/>
          <w:sz w:val="24"/>
          <w:szCs w:val="24"/>
          <w:lang w:val="es-ES" w:eastAsia="es-ES"/>
        </w:rPr>
        <w:tab/>
        <w:t xml:space="preserve">Contra la libertad, integridad y formación sexuales, de la violación - Acceso carnal violento (16,71%) y  </w:t>
      </w:r>
    </w:p>
    <w:p w:rsidR="004672A1" w:rsidRPr="004E7897" w:rsidRDefault="004672A1" w:rsidP="004672A1">
      <w:pPr>
        <w:spacing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lastRenderedPageBreak/>
        <w:t>Contra la libertad, integridad y formación sexuales, de la violación - Acto sexual violento (8,69%), lo otros delitos se reportan con menos de un 1,5%.</w:t>
      </w:r>
      <w:r w:rsidRPr="004E7897">
        <w:rPr>
          <w:rFonts w:ascii="Arial Narrow" w:eastAsia="Times New Roman" w:hAnsi="Arial Narrow" w:cs="Arial"/>
          <w:sz w:val="24"/>
          <w:szCs w:val="24"/>
          <w:lang w:val="es-ES" w:eastAsia="es-ES"/>
        </w:rPr>
        <w:tab/>
      </w:r>
    </w:p>
    <w:p w:rsidR="004672A1" w:rsidRPr="004E7897" w:rsidRDefault="004672A1" w:rsidP="004672A1">
      <w:pPr>
        <w:spacing w:line="240" w:lineRule="auto"/>
        <w:jc w:val="both"/>
        <w:rPr>
          <w:rFonts w:ascii="Arial Narrow" w:eastAsia="Times New Roman" w:hAnsi="Arial Narrow" w:cs="Arial"/>
          <w:b/>
          <w:sz w:val="24"/>
          <w:szCs w:val="24"/>
          <w:lang w:val="es-ES" w:eastAsia="es-ES"/>
        </w:rPr>
      </w:pPr>
      <w:r w:rsidRPr="004E7897">
        <w:rPr>
          <w:rFonts w:ascii="Arial Narrow" w:eastAsia="Times New Roman" w:hAnsi="Arial Narrow" w:cs="Arial"/>
          <w:b/>
          <w:sz w:val="24"/>
          <w:szCs w:val="24"/>
          <w:lang w:val="es-ES" w:eastAsia="es-ES"/>
        </w:rPr>
        <w:t xml:space="preserve">RÉGIMEN DE INHABILIDADES  </w:t>
      </w:r>
    </w:p>
    <w:p w:rsidR="004672A1" w:rsidRPr="004E7897" w:rsidRDefault="004672A1" w:rsidP="004672A1">
      <w:pPr>
        <w:spacing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 xml:space="preserve">Los regímenes de inhabilidades establecidos ya sea por disposición del constituyente o por el legislador corresponden a una serie de impedimentos, incapacidad e ineptitud para el desempeño de un empleo o ejercicio de funciones en específico derivados de causa de tipo natural, jurídico o moral; con el ánimo de salvaguardar el interés general. </w:t>
      </w:r>
    </w:p>
    <w:p w:rsidR="004672A1" w:rsidRPr="004E7897" w:rsidRDefault="004672A1" w:rsidP="004672A1">
      <w:pPr>
        <w:spacing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El ordenamiento jurídico consagra dos tipos de inhabilidades en consideración a la naturaleza y la finalidad de la limitación. En uno de los grupos están las inhabilidades relacionadas directamente con la potestad sancionadora del Estado, la cual se aplica en los ámbitos penal, disciplinario, contravencional, correccional y de punición por indignidad política. En el otro grupo se hallan las inhabilidades que no constituyen sanción ni están relacionadas con la comisión de faltas, sino que corresponden a modalidades diferentes de protección del interés general y obedecen a la efectividad de principios, derechos y valores constitucionales, como son la lealtad empresarial, moralidad, imparcialidad, eficacia, transparencia o sigilo profesional, entre otros postulados. Desde este segundo punto de vista, la inhabilidad no constituye una pena ni una sanción, sino una garantía de que el comportamiento anterior o el vínculo familiar no afectarán el desempeño del empleo o función, de protección del interés general y de la idoneidad, probidad, imparcialidad y moralidad del aspirante.</w:t>
      </w:r>
    </w:p>
    <w:p w:rsidR="004672A1" w:rsidRPr="004E7897" w:rsidRDefault="004672A1" w:rsidP="004672A1">
      <w:pPr>
        <w:spacing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Aquellas derivadas de las sanciones que se fijan como consecuencia de la imposición de una condena o de una sanción disciplinaria pueden ser de índole permanente o temporal y, en ambos casos, opera con carácter general frente al desempeño futuro de funciones públicas o, como en el presente caso, respecto de la posibilidad de celebrar contratos con el Estado; donde nos solo tienen una connotación sancionatoria, sino que también tienen consecuencias respecto de las condiciones de idoneidad, eficiencia, transparencia, responsabilidad e imparcialidad exigidas por la administración a sus contratistas, teniendo en cuenta que el cumplimiento de estos acuerdos contractuales compromete el interés general y, en algunos casos, las condiciones dignas dentro de las cuales se debe desarrollar la convivencia de las personas que integran la comunidad.</w:t>
      </w:r>
    </w:p>
    <w:p w:rsidR="004672A1" w:rsidRPr="004E7897" w:rsidRDefault="004672A1" w:rsidP="004672A1">
      <w:pPr>
        <w:spacing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 xml:space="preserve">La inhabilidad permanente propuesta en la presente iniciativa, se encuadra en aquellas fundamentadas en la potestad sancionadora del Estado, como una forma de salvaguardar un interés superior que en dicho caso sería la protección de los derechos de los niños fundamentados en el artículo 4 ° Constitucional. </w:t>
      </w:r>
    </w:p>
    <w:p w:rsidR="004672A1" w:rsidRPr="004E7897" w:rsidRDefault="004672A1" w:rsidP="004672A1">
      <w:pPr>
        <w:spacing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Esta inhabilidad intemporal o de vigencia indefinida tal como lo ha decantado la jurisprudencia constitucional, no vulnera las garantías fundamentales, siempre y cuando la medida adoptada se adecue a los criterios de razonabilidad y proporcionalidad , tampoco podría calificarse de inconstitucional el carácter intemporal que la norma le reconoce a la prohibición allí prevista, pues, tal como lo ha venido afirmando esta Corporación y ahora se reitera, las causales de inelegibilidad “sin límite de tiempo”, estructuradas a partir de la existencia previa de antecedentes penales, esto es, de sentencias condenatorias por delitos no políticos ni culposos, no conllevan un desconocimiento del Estatuto Superior -particularmente del principio de imprescriptibilidad de las penas- toda vez que el fundamento de su consagración no reposa en la salvaguarda de derechos individuales, sino en la manifiesta necesidad de garantizar y hacer prevalecer el interés general.</w:t>
      </w:r>
    </w:p>
    <w:p w:rsidR="004672A1" w:rsidRPr="004E7897" w:rsidRDefault="004672A1" w:rsidP="004672A1">
      <w:pPr>
        <w:spacing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lastRenderedPageBreak/>
        <w:t>Si bien, la inhabilidad para desempeñar  cargos, empleos, oficios o profesiones ejercidas en ámbitos educacionales o que involucren una relación directa y habitual con personas menores de edad aplicada a  quienes hayan sido condenados por delitos sexuales contra menores, restringe derechos en el ámbito particular, tal condicionamiento se realiza con el fin de proteger un interés superior de rango constitucional y una obligación del Estado como ente garante de la especial protección de los niños, tal como lo manifiesta el artículo 5º de la Ley 1098 de 2006 las normas de protección a los niños y adolescentes “son de orden público, de carácter irrenunciable y los principios y reglas en ellas consagrados se aplicarán de preferencia a las disposiciones contenidas en otras leyes”.</w:t>
      </w:r>
    </w:p>
    <w:p w:rsidR="004672A1" w:rsidRPr="004E7897" w:rsidRDefault="004672A1" w:rsidP="004672A1">
      <w:pPr>
        <w:spacing w:line="240" w:lineRule="auto"/>
        <w:jc w:val="both"/>
        <w:rPr>
          <w:rFonts w:ascii="Arial Narrow" w:eastAsia="Times New Roman" w:hAnsi="Arial Narrow" w:cs="Arial"/>
          <w:b/>
          <w:sz w:val="24"/>
          <w:szCs w:val="24"/>
          <w:lang w:val="es-ES" w:eastAsia="es-ES"/>
        </w:rPr>
      </w:pPr>
      <w:r w:rsidRPr="004E7897">
        <w:rPr>
          <w:rFonts w:ascii="Arial Narrow" w:eastAsia="Times New Roman" w:hAnsi="Arial Narrow" w:cs="Arial"/>
          <w:b/>
          <w:sz w:val="24"/>
          <w:szCs w:val="24"/>
          <w:lang w:val="es-ES" w:eastAsia="es-ES"/>
        </w:rPr>
        <w:t xml:space="preserve">PREVALENCIA DE LOS DERECHOS DE LOS NIÑOS Y POLÍTICA CRIMINAL </w:t>
      </w:r>
    </w:p>
    <w:p w:rsidR="004672A1" w:rsidRPr="004E7897" w:rsidRDefault="004672A1" w:rsidP="004672A1">
      <w:pPr>
        <w:spacing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El artículo 44 de la Carta política, manifiesta la prevalencia de los niños  frente a la garantías de los demás, prevé la protección especial de la que son objeto por parte de la familia, la sociedad y el Estado, quienes adquieren la obligación de asistirlos y protegerlos para garantizar su desarrollo armónico e integral y el ejercicio pleno de sus derechos.</w:t>
      </w:r>
    </w:p>
    <w:p w:rsidR="004672A1" w:rsidRPr="004E7897" w:rsidRDefault="004672A1" w:rsidP="004672A1">
      <w:pPr>
        <w:spacing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Atendiendo a esta obligación, el Estado  debe consultar el interés superior del menor al momento de adoptar toda clase de acciones, medidas, políticas y decisiones que puedan afectarlos, por ello, el legislador ha dado aplicación directa al principio pro infantes resguardando las garantías superiores de los infantes sobre las de los adultos, estableciendo severidad en las penas cuando la comisión de la conducta penal recae sobre un menor de 18 años, veamos:</w:t>
      </w:r>
    </w:p>
    <w:p w:rsidR="004672A1" w:rsidRPr="004E7897" w:rsidRDefault="004672A1" w:rsidP="004672A1">
      <w:pPr>
        <w:pStyle w:val="Prrafodelista"/>
        <w:numPr>
          <w:ilvl w:val="0"/>
          <w:numId w:val="9"/>
        </w:numPr>
        <w:spacing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El tipo penal de inasistencia alimentaria previsto en el artículo 233 del Código Penal, que sanciona con pena privativa de la libertad y multa a quien se sustraiga sin justa causa de la prestación de alimentos que legalmente debe proveer, la cual se agrava cuando se presenta contra un menor.</w:t>
      </w:r>
    </w:p>
    <w:p w:rsidR="004672A1" w:rsidRPr="004E7897" w:rsidRDefault="004672A1" w:rsidP="004672A1">
      <w:pPr>
        <w:pStyle w:val="Prrafodelista"/>
        <w:spacing w:line="240" w:lineRule="auto"/>
        <w:jc w:val="both"/>
        <w:rPr>
          <w:rFonts w:ascii="Arial Narrow" w:eastAsia="Times New Roman" w:hAnsi="Arial Narrow" w:cs="Arial"/>
          <w:sz w:val="24"/>
          <w:szCs w:val="24"/>
          <w:lang w:val="es-ES" w:eastAsia="es-ES"/>
        </w:rPr>
      </w:pPr>
    </w:p>
    <w:p w:rsidR="004672A1" w:rsidRPr="004E7897" w:rsidRDefault="004672A1" w:rsidP="004672A1">
      <w:pPr>
        <w:pStyle w:val="Prrafodelista"/>
        <w:numPr>
          <w:ilvl w:val="0"/>
          <w:numId w:val="9"/>
        </w:numPr>
        <w:spacing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El legislador adoptó una medida positiva consultando el interés superior del menor (encaminado a que efectivamente se satisfagan sus necesidades básicas de alimentos, educación, salud) e impuso de manera prevalente los derechos del menor sobre el derecho a la libertad de quien incumpla sin justa causa con la obligación de brindar alimentos. Esta es una clara manifestación del interés superior del menor que se protege cuando uno de los llamados -la familia- a satisfacer las necesidades de los infantes, incumple con su deber constitucional y legal, de garantizar el desarrollo integral y la satisfacción de los derechos.</w:t>
      </w:r>
    </w:p>
    <w:p w:rsidR="004672A1" w:rsidRPr="004E7897" w:rsidRDefault="004672A1" w:rsidP="004672A1">
      <w:pPr>
        <w:pStyle w:val="Prrafodelista"/>
        <w:rPr>
          <w:rFonts w:ascii="Arial Narrow" w:eastAsia="Times New Roman" w:hAnsi="Arial Narrow" w:cs="Arial"/>
          <w:sz w:val="24"/>
          <w:szCs w:val="24"/>
          <w:lang w:val="es-ES" w:eastAsia="es-ES"/>
        </w:rPr>
      </w:pPr>
    </w:p>
    <w:p w:rsidR="004672A1" w:rsidRPr="004E7897" w:rsidRDefault="004672A1" w:rsidP="004672A1">
      <w:pPr>
        <w:pStyle w:val="Prrafodelista"/>
        <w:numPr>
          <w:ilvl w:val="0"/>
          <w:numId w:val="9"/>
        </w:numPr>
        <w:spacing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El mismo ejemplo se repite en otros tipos penales que protegen al menor al sancionar con pena privativa de la libertad los delitos de violencia intrafamiliar, el ejercicio arbitrario de la custodia de hijo menor de edad, la adopción irregular, el abandono de hijo fruto de acceso carnal violento, abusivo o de inseminación artificial o transferencia de óvulo fecundado no consentidas, el estímulo a la prostitución de menores, la pornografía con menores de 18 años[134], el turismo sexual, la utilización o facilitación de medios de comunicación para ofrecer actividades sexuales con personas menores de 18 años y la omisión de denuncia[137].</w:t>
      </w:r>
    </w:p>
    <w:p w:rsidR="004672A1" w:rsidRPr="004E7897" w:rsidRDefault="004672A1" w:rsidP="004672A1">
      <w:pPr>
        <w:pStyle w:val="Prrafodelista"/>
        <w:rPr>
          <w:rFonts w:ascii="Arial Narrow" w:eastAsia="Times New Roman" w:hAnsi="Arial Narrow" w:cs="Arial"/>
          <w:sz w:val="24"/>
          <w:szCs w:val="24"/>
          <w:lang w:val="es-ES" w:eastAsia="es-ES"/>
        </w:rPr>
      </w:pPr>
    </w:p>
    <w:p w:rsidR="004672A1" w:rsidRPr="004E7897" w:rsidRDefault="004672A1" w:rsidP="004672A1">
      <w:pPr>
        <w:pStyle w:val="Prrafodelista"/>
        <w:numPr>
          <w:ilvl w:val="0"/>
          <w:numId w:val="9"/>
        </w:numPr>
        <w:spacing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 xml:space="preserve">Así mismo, en el marco de protección y aplicación del principio pro infans, existen circunstancias de agravación punitiva en los delitos contra la libertad, integridad y formación </w:t>
      </w:r>
      <w:r w:rsidRPr="004E7897">
        <w:rPr>
          <w:rFonts w:ascii="Arial Narrow" w:eastAsia="Times New Roman" w:hAnsi="Arial Narrow" w:cs="Arial"/>
          <w:sz w:val="24"/>
          <w:szCs w:val="24"/>
          <w:lang w:val="es-ES" w:eastAsia="es-ES"/>
        </w:rPr>
        <w:lastRenderedPageBreak/>
        <w:t>sexuales, y contra la libertad individual, cuando se trate de menores de catorce años, tal como puede observarse en los artículos 165, 166, 168 a 170, 178 a 181, 188D del Código Penal.</w:t>
      </w:r>
    </w:p>
    <w:p w:rsidR="004672A1" w:rsidRPr="004E7897" w:rsidRDefault="004672A1" w:rsidP="004672A1">
      <w:pPr>
        <w:pStyle w:val="Prrafodelista"/>
        <w:rPr>
          <w:rFonts w:ascii="Arial Narrow" w:eastAsia="Times New Roman" w:hAnsi="Arial Narrow" w:cs="Arial"/>
          <w:sz w:val="24"/>
          <w:szCs w:val="24"/>
          <w:lang w:val="es-ES" w:eastAsia="es-ES"/>
        </w:rPr>
      </w:pPr>
    </w:p>
    <w:p w:rsidR="004672A1" w:rsidRPr="004E7897" w:rsidRDefault="004672A1" w:rsidP="004672A1">
      <w:pPr>
        <w:pStyle w:val="Prrafodelista"/>
        <w:numPr>
          <w:ilvl w:val="0"/>
          <w:numId w:val="9"/>
        </w:numPr>
        <w:spacing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Puntualmente, en relación con la protección a los menores contra toda forma de explotación y abuso sexual, establece la obligación de los Estados parte de adoptar medidas apropiadas para promover su recuperación física, psicológica y su reintegración social, cuando sean víctimas de cualquier forma de abandono, explotación o abuso, tortura u otra forma de trato cruel, inhumano o degradante, lo cual se llevará a cabo en un ambiente que fomente la salud, el respeto de sí mismo y la dignidad (arts. 34 y 39 de la Convención de los Derechos del Niño).</w:t>
      </w:r>
    </w:p>
    <w:p w:rsidR="000F7B27" w:rsidRDefault="000F7B27" w:rsidP="004672A1">
      <w:pPr>
        <w:spacing w:line="240" w:lineRule="auto"/>
        <w:jc w:val="both"/>
        <w:rPr>
          <w:rFonts w:ascii="Arial Narrow" w:eastAsia="Times New Roman" w:hAnsi="Arial Narrow" w:cs="Arial"/>
          <w:sz w:val="24"/>
          <w:szCs w:val="24"/>
          <w:lang w:val="es-ES" w:eastAsia="es-ES"/>
        </w:rPr>
      </w:pPr>
    </w:p>
    <w:p w:rsidR="004672A1" w:rsidRPr="004E7897" w:rsidRDefault="004672A1" w:rsidP="004672A1">
      <w:pPr>
        <w:spacing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 xml:space="preserve">La política criminal Colombiana ha entendido que la protección especial no sería efectiva si el Estado renunciara a sancionar las conductas que afectan de manera grave derecho de categoría prevalente, en esa medida, las sanciones severas  para quienes atentan contra los bienes jurídicos de los menores, además de cumplir con los compromisos internacionales y constitucionales adquiridos por el Estado; envía un mensajea a la sociedad, que los abusos contra personas que por razones físicas y sicológicas no están en capacidad de defenderse, como los menores, revisten un considerable reproche en el juicio de culpabilidad y en general mayor gravedad al momento de hacer efectiva la sanción penal a que hubiere lugar.  </w:t>
      </w:r>
    </w:p>
    <w:p w:rsidR="004672A1" w:rsidRPr="004E7897" w:rsidRDefault="004672A1" w:rsidP="004672A1">
      <w:pPr>
        <w:spacing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Con el establecimiento de la inhabilidad que se propone en la iniciativa además de aumentar la severidad de las sanciones por delitos en contra de menores, refuerza el margen de prevención de violaciones al cual debe atender la actividad del legislador dentro de los parámetros de la protección integral descrita en la  Ley 1098 de 2006: “Se entiende por protección integral de los niños, niñas y adolescentes el reconocimiento como sujetos de derechos, la garantía y cumplimiento de los mismos, la prevención de su amenaza o vulneración y la seguridad de su restablecimiento inmediato en desarrollo del principio del interés superior.”</w:t>
      </w:r>
    </w:p>
    <w:p w:rsidR="004672A1" w:rsidRPr="004E7897" w:rsidRDefault="004672A1" w:rsidP="004672A1">
      <w:pPr>
        <w:spacing w:line="240" w:lineRule="auto"/>
        <w:jc w:val="both"/>
        <w:rPr>
          <w:rFonts w:ascii="Arial Narrow" w:eastAsia="Times New Roman" w:hAnsi="Arial Narrow" w:cs="Arial"/>
          <w:b/>
          <w:sz w:val="24"/>
          <w:szCs w:val="24"/>
          <w:lang w:val="es-ES" w:eastAsia="es-ES"/>
        </w:rPr>
      </w:pPr>
      <w:r w:rsidRPr="004E7897">
        <w:rPr>
          <w:rFonts w:ascii="Arial Narrow" w:eastAsia="Times New Roman" w:hAnsi="Arial Narrow" w:cs="Arial"/>
          <w:b/>
          <w:sz w:val="24"/>
          <w:szCs w:val="24"/>
          <w:lang w:val="es-ES" w:eastAsia="es-ES"/>
        </w:rPr>
        <w:t xml:space="preserve">RESOCIALIZACION Y PORCENTAJES DE REINCIDENCIA DE AGRESORES SEXUALES </w:t>
      </w:r>
    </w:p>
    <w:p w:rsidR="004672A1" w:rsidRPr="004E7897" w:rsidRDefault="004672A1" w:rsidP="004672A1">
      <w:pPr>
        <w:spacing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 xml:space="preserve">Distintos estudios criminológicos y de siquiatría forense a nivel mundial, reconocen dos connotaciones importantes que deben ser tenidas en cuenta al momento de establecer políticas criminales frente a agresores sexuales, la primera corresponde a la dificultad de resocialización de los pedófilos o depredadores sexuales de menores y la segunda al alto grado de reincidencia de los agresores sexuales. </w:t>
      </w:r>
    </w:p>
    <w:p w:rsidR="004672A1" w:rsidRPr="004E7897" w:rsidRDefault="004672A1" w:rsidP="004672A1">
      <w:pPr>
        <w:spacing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Según Luis Raúl Guillamondegui  “Vale señalar que en cada caso el riesgo de reincidencia y también de las posibilidades del tratamiento dependen de la tipología del agresor de que se trate y, específicamente, de los factores de riesgo o predictores estáticos (factores inherentes al sujeto o a su pasado, y de allí, de difícil o imposible modificación) y dinámicos específicos de reincidencia sexual (hábitos, valores, cogniciones, bajo status educativo y social, bajo autocontrol, conflictos personales, etc., los que pueden en cierto grado modificarse mediante intervenciones apropiadas).</w:t>
      </w:r>
    </w:p>
    <w:p w:rsidR="004672A1" w:rsidRPr="004E7897" w:rsidRDefault="004672A1" w:rsidP="004672A1">
      <w:pPr>
        <w:spacing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 xml:space="preserve">En materia de delincuencia sexual se cumple la regla que afirma que “el peligro de la reincidencia es mayor cuanto más grave haya sido la carrera delictiva del sujeto”. Por ello, las tareas de predicción de </w:t>
      </w:r>
      <w:r w:rsidRPr="004E7897">
        <w:rPr>
          <w:rFonts w:ascii="Arial Narrow" w:eastAsia="Times New Roman" w:hAnsi="Arial Narrow" w:cs="Arial"/>
          <w:sz w:val="24"/>
          <w:szCs w:val="24"/>
          <w:lang w:val="es-ES" w:eastAsia="es-ES"/>
        </w:rPr>
        <w:lastRenderedPageBreak/>
        <w:t>la peligrosidad han de tener en cuenta la gravedad y la frecuencia de las agresiones sexuales consumadas en la carrera delictiva del sujeto.</w:t>
      </w:r>
    </w:p>
    <w:p w:rsidR="004672A1" w:rsidRPr="004E7897" w:rsidRDefault="004672A1" w:rsidP="004672A1">
      <w:pPr>
        <w:spacing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 xml:space="preserve">Así podríamos hablar de un alto riesgo de reincidencia en los supuestos de autores de delitos sexuales violentos (con un plus de violencia más allá de la necesaria para la comisión del hecho), ser reincidente (delitos sexuales y no sexuales), cuando hay evidencias de psicopatologías, la falta de reconocimiento de responsabilidad por el penado, haber sido víctima de abusos físicos y/o sexuales reiterados, falta de motivación y aplicación al tratamiento, entre otras variables </w:t>
      </w:r>
    </w:p>
    <w:p w:rsidR="004672A1" w:rsidRPr="004E7897" w:rsidRDefault="004672A1" w:rsidP="004672A1">
      <w:pPr>
        <w:spacing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La reincidencia observada, definida como la comisión y encarcelamiento por un nuevo delito, comprende aquí tanto los delitos como los no sexuales. El 78,5% de los sujetos de la muestra no volvieron a delinquir, un 14,7% reincidieron sexualmente, y un 6,7% cometieron un nuevo delito no sexual. Estas cifras se aproximan a los datos obtenidos en la investigación internacional sobre reincidencia sexual, que informan que el 20% de los agresores sexuales volverá probablemente a delinquir en un período de seguimiento de 5 años (Garrido, Stangeland, y Redondo, 2006; Hanson, 2005; Lösel, 2002).</w:t>
      </w:r>
    </w:p>
    <w:p w:rsidR="00C422E9" w:rsidRPr="004E7897" w:rsidRDefault="004672A1" w:rsidP="004672A1">
      <w:pPr>
        <w:spacing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En Colombia el Instituto Nacional de Prisiones de Colombia (INPEC) no realiza estimaciones de la reincidencia pos penitenciaría de forma sistemática, sino que ha publicado recientemente el número de internos que tenían antecedentes delictivos, que se sitúa cerca del 13% de la población encarcelada actual.</w:t>
      </w:r>
    </w:p>
    <w:p w:rsidR="004672A1" w:rsidRPr="004E7897" w:rsidRDefault="004672A1" w:rsidP="004672A1">
      <w:pPr>
        <w:numPr>
          <w:ilvl w:val="0"/>
          <w:numId w:val="10"/>
        </w:num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b/>
          <w:sz w:val="24"/>
          <w:szCs w:val="24"/>
          <w:lang w:val="es-ES_tradnl" w:eastAsia="es-ES"/>
        </w:rPr>
        <w:t xml:space="preserve">LEGISLACIÓN COMPARADA </w:t>
      </w:r>
      <w:r w:rsidRPr="004E7897">
        <w:rPr>
          <w:rFonts w:ascii="Arial Narrow" w:eastAsia="Times New Roman" w:hAnsi="Arial Narrow" w:cs="Arial"/>
          <w:b/>
          <w:sz w:val="24"/>
          <w:szCs w:val="24"/>
          <w:vertAlign w:val="superscript"/>
          <w:lang w:val="es-ES_tradnl" w:eastAsia="es-ES"/>
        </w:rPr>
        <w:footnoteReference w:id="2"/>
      </w:r>
    </w:p>
    <w:p w:rsidR="004672A1" w:rsidRPr="004E7897" w:rsidRDefault="004672A1" w:rsidP="004672A1">
      <w:p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sz w:val="24"/>
          <w:szCs w:val="24"/>
          <w:lang w:val="es-ES_tradnl" w:eastAsia="es-ES"/>
        </w:rPr>
        <w:t>Los sistemas de registro como mecanismos de protección social  a los niños y niñas frente a las agresiones sexuales han tenido un amplio desarrollo en las legislaciones extranjeras, con adaptaciones propias de cada sistema de derecho.</w:t>
      </w:r>
    </w:p>
    <w:p w:rsidR="004672A1" w:rsidRPr="004E7897" w:rsidRDefault="004672A1" w:rsidP="004672A1">
      <w:pPr>
        <w:numPr>
          <w:ilvl w:val="0"/>
          <w:numId w:val="11"/>
        </w:numPr>
        <w:spacing w:line="240" w:lineRule="auto"/>
        <w:jc w:val="both"/>
        <w:rPr>
          <w:rFonts w:ascii="Arial Narrow" w:eastAsia="Times New Roman" w:hAnsi="Arial Narrow" w:cs="Arial"/>
          <w:b/>
          <w:sz w:val="24"/>
          <w:szCs w:val="24"/>
          <w:lang w:val="es-ES_tradnl" w:eastAsia="es-ES"/>
        </w:rPr>
      </w:pPr>
      <w:r w:rsidRPr="004E7897">
        <w:rPr>
          <w:rFonts w:ascii="Arial Narrow" w:eastAsia="Times New Roman" w:hAnsi="Arial Narrow" w:cs="Arial"/>
          <w:b/>
          <w:sz w:val="24"/>
          <w:szCs w:val="24"/>
          <w:lang w:val="es-ES_tradnl" w:eastAsia="es-ES"/>
        </w:rPr>
        <w:t xml:space="preserve">CHILE </w:t>
      </w:r>
    </w:p>
    <w:p w:rsidR="004672A1" w:rsidRPr="004E7897" w:rsidRDefault="004672A1" w:rsidP="004672A1">
      <w:pPr>
        <w:numPr>
          <w:ilvl w:val="0"/>
          <w:numId w:val="12"/>
        </w:numPr>
        <w:spacing w:line="240" w:lineRule="auto"/>
        <w:jc w:val="both"/>
        <w:rPr>
          <w:rFonts w:ascii="Arial Narrow" w:eastAsia="Times New Roman" w:hAnsi="Arial Narrow" w:cs="Arial"/>
          <w:b/>
          <w:sz w:val="24"/>
          <w:szCs w:val="24"/>
          <w:lang w:val="es-ES_tradnl" w:eastAsia="es-ES"/>
        </w:rPr>
      </w:pPr>
      <w:r w:rsidRPr="004E7897">
        <w:rPr>
          <w:rFonts w:ascii="Arial Narrow" w:eastAsia="Times New Roman" w:hAnsi="Arial Narrow" w:cs="Arial"/>
          <w:b/>
          <w:sz w:val="24"/>
          <w:szCs w:val="24"/>
          <w:lang w:val="es-ES_tradnl" w:eastAsia="es-ES"/>
        </w:rPr>
        <w:t xml:space="preserve">Registro de inhabilidades por delitos sexuales con menores de edad </w:t>
      </w:r>
    </w:p>
    <w:p w:rsidR="004672A1" w:rsidRPr="004E7897" w:rsidRDefault="004672A1" w:rsidP="004672A1">
      <w:p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sz w:val="24"/>
          <w:szCs w:val="24"/>
          <w:lang w:val="es-ES_tradnl" w:eastAsia="es-ES"/>
        </w:rPr>
        <w:t>El Registro de Inhabilidades de condenados por delitos sexuales contra menores de edad permite saber si una persona ha sido condenada por violación, abuso sexual, actos de connotación sexual y producción de pornografía infantil; sustracción de menores y robo con violencia o intimidación a menores de edad.</w:t>
      </w:r>
    </w:p>
    <w:p w:rsidR="004672A1" w:rsidRPr="004E7897" w:rsidRDefault="004672A1" w:rsidP="004672A1">
      <w:pPr>
        <w:numPr>
          <w:ilvl w:val="0"/>
          <w:numId w:val="12"/>
        </w:num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b/>
          <w:sz w:val="24"/>
          <w:szCs w:val="24"/>
          <w:lang w:val="es-ES_tradnl" w:eastAsia="es-ES"/>
        </w:rPr>
        <w:t xml:space="preserve">Acceso  de información a la comunidad. </w:t>
      </w:r>
      <w:r w:rsidRPr="004E7897">
        <w:rPr>
          <w:rFonts w:ascii="Arial Narrow" w:eastAsia="Times New Roman" w:hAnsi="Arial Narrow" w:cs="Arial"/>
          <w:sz w:val="24"/>
          <w:szCs w:val="24"/>
          <w:lang w:val="es-ES_tradnl" w:eastAsia="es-ES"/>
        </w:rPr>
        <w:t>Basta ingresar al sitio web del Registro Civil y acceder al banner Consulta de inhabilidades para trabajar con menores de edad, en el cual de manera sencilla y gratuita obtendrá la información requerida. Ingresando el nombre y rut de quién consulta y de la persona a verificar, el sistema de manera inmediata indicará si esta se encuentra inhabilitada para trabajar con menores de edad.</w:t>
      </w:r>
    </w:p>
    <w:p w:rsidR="004672A1" w:rsidRPr="004E7897" w:rsidRDefault="004672A1" w:rsidP="004672A1">
      <w:pPr>
        <w:spacing w:line="240" w:lineRule="auto"/>
        <w:jc w:val="both"/>
        <w:rPr>
          <w:rFonts w:ascii="Arial Narrow" w:eastAsia="Times New Roman" w:hAnsi="Arial Narrow" w:cs="Arial"/>
          <w:b/>
          <w:sz w:val="24"/>
          <w:szCs w:val="24"/>
          <w:lang w:val="es-ES_tradnl" w:eastAsia="es-ES"/>
        </w:rPr>
      </w:pPr>
      <w:r w:rsidRPr="004E7897">
        <w:rPr>
          <w:rFonts w:ascii="Arial Narrow" w:eastAsia="Times New Roman" w:hAnsi="Arial Narrow" w:cs="Arial"/>
          <w:b/>
          <w:sz w:val="24"/>
          <w:szCs w:val="24"/>
          <w:lang w:val="es-ES_tradnl" w:eastAsia="es-ES"/>
        </w:rPr>
        <w:lastRenderedPageBreak/>
        <w:t>2) ESTADOS UNIDOS DE NORTEAMÉRICA</w:t>
      </w:r>
    </w:p>
    <w:p w:rsidR="004672A1" w:rsidRPr="004E7897" w:rsidRDefault="004672A1" w:rsidP="004672A1">
      <w:p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b/>
          <w:sz w:val="24"/>
          <w:szCs w:val="24"/>
          <w:lang w:val="es-ES_tradnl" w:eastAsia="es-ES"/>
        </w:rPr>
        <w:t xml:space="preserve">a) Evolución legislativa del sistema de registro de los ofensores sexuales. </w:t>
      </w:r>
      <w:r w:rsidRPr="004E7897">
        <w:rPr>
          <w:rFonts w:ascii="Arial Narrow" w:eastAsia="Times New Roman" w:hAnsi="Arial Narrow" w:cs="Arial"/>
          <w:sz w:val="24"/>
          <w:szCs w:val="24"/>
          <w:lang w:val="es-ES_tradnl" w:eastAsia="es-ES"/>
        </w:rPr>
        <w:t>Desde 1947, California cuenta con una ley de registro para ofensores sexuales condenados, para ser aplicada en todo el estado. Sin embargo, entre ese año y 1989, sólo doce estados habían adoptado leyes de registro. A partir de 1990 la política pública cambia radicalmente, así el estado de Washington promulgó la primera ley de registro y notificación a la comunidad (Community Protection Act of 1990), permitiendo la difusión de la información identificadora de los registrados a las comunidades en las que estos viven.</w:t>
      </w:r>
    </w:p>
    <w:p w:rsidR="004672A1" w:rsidRPr="004E7897" w:rsidRDefault="004672A1" w:rsidP="004672A1">
      <w:pPr>
        <w:spacing w:line="240" w:lineRule="auto"/>
        <w:jc w:val="both"/>
        <w:rPr>
          <w:rFonts w:ascii="Arial Narrow" w:eastAsia="Times New Roman" w:hAnsi="Arial Narrow" w:cs="Arial"/>
          <w:b/>
          <w:sz w:val="24"/>
          <w:szCs w:val="24"/>
          <w:lang w:val="es-ES_tradnl" w:eastAsia="es-ES"/>
        </w:rPr>
      </w:pPr>
    </w:p>
    <w:p w:rsidR="004672A1" w:rsidRPr="004E7897" w:rsidRDefault="004672A1" w:rsidP="004672A1">
      <w:pPr>
        <w:spacing w:line="240" w:lineRule="auto"/>
        <w:jc w:val="both"/>
        <w:rPr>
          <w:rFonts w:ascii="Arial Narrow" w:eastAsia="Times New Roman" w:hAnsi="Arial Narrow" w:cs="Arial"/>
          <w:b/>
          <w:sz w:val="24"/>
          <w:szCs w:val="24"/>
          <w:lang w:val="es-ES_tradnl" w:eastAsia="es-ES"/>
        </w:rPr>
      </w:pPr>
      <w:r w:rsidRPr="004E7897">
        <w:rPr>
          <w:rFonts w:ascii="Arial Narrow" w:eastAsia="Times New Roman" w:hAnsi="Arial Narrow" w:cs="Arial"/>
          <w:b/>
          <w:sz w:val="24"/>
          <w:szCs w:val="24"/>
          <w:lang w:val="es-ES_tradnl" w:eastAsia="es-ES"/>
        </w:rPr>
        <w:t xml:space="preserve">INFORME COMISIÓN SEGURIDAD CIUDADANA </w:t>
      </w:r>
    </w:p>
    <w:p w:rsidR="004672A1" w:rsidRPr="004E7897" w:rsidRDefault="004672A1" w:rsidP="004672A1">
      <w:p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sz w:val="24"/>
          <w:szCs w:val="24"/>
          <w:lang w:val="es-ES_tradnl" w:eastAsia="es-ES"/>
        </w:rPr>
        <w:t>Una de las leyes que más repercusión ha tenido es la Ley de Megan o Megan’s Law de 1994, de Nueva Jersey, basada en la creencia que los ofensores sexuales tienen un nivel de reincidencia mayor que otro tipo de delincuentes. Ese mismo año el Congreso adopta la primera ley de registro a nivel federal, denominada la Ley Jacob Wetterling de Crímenes Violentos en Contra de Niños y Registro de Ofensores Sexuales Violentos (Jacob Wetterling Crimes Against Children and Sexually Violent Offender Registration Act), que exigió a los estados crear registros de los delincuentes condenados por ofensas sexuales violentas o crímenes contra menores de edad, y establece requisitos más estrictos a los delincuentes de mayor peligrosidad. Además, la Ley Wetterling permitió la notificación a la comunidad del contenido del registro.</w:t>
      </w:r>
    </w:p>
    <w:p w:rsidR="004672A1" w:rsidRPr="004E7897" w:rsidRDefault="004672A1" w:rsidP="004672A1">
      <w:pPr>
        <w:spacing w:line="240" w:lineRule="auto"/>
        <w:jc w:val="both"/>
        <w:rPr>
          <w:rFonts w:ascii="Arial Narrow" w:eastAsia="Times New Roman" w:hAnsi="Arial Narrow" w:cs="Arial"/>
          <w:sz w:val="24"/>
          <w:szCs w:val="24"/>
          <w:lang w:val="es-ES_tradnl" w:eastAsia="es-ES"/>
        </w:rPr>
      </w:pPr>
    </w:p>
    <w:p w:rsidR="004672A1" w:rsidRPr="004E7897" w:rsidRDefault="004672A1" w:rsidP="004672A1">
      <w:p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b/>
          <w:sz w:val="24"/>
          <w:szCs w:val="24"/>
          <w:lang w:val="es-ES_tradnl" w:eastAsia="es-ES"/>
        </w:rPr>
        <w:t>b) Clasificación de los ofensores sexuales a nivel federal y estatal.</w:t>
      </w:r>
      <w:r w:rsidRPr="004E7897">
        <w:rPr>
          <w:rFonts w:ascii="Arial Narrow" w:eastAsia="Times New Roman" w:hAnsi="Arial Narrow" w:cs="Arial"/>
          <w:sz w:val="24"/>
          <w:szCs w:val="24"/>
          <w:lang w:val="es-ES_tradnl" w:eastAsia="es-ES"/>
        </w:rPr>
        <w:t xml:space="preserve"> La clasificación de los ofensores sexuales en EE.UU. depende de la legislación aplicable, esto es, federal o estatal, pues cada una indica diversos criterios de registro y publicidad. A lo menos quince estados aplican un enfoque basado en el ofensor (offender-based), mientras que a nivel federal se utiliza uno basado en el delito (offense-based). La AWA (Ley Adam Walsh de Protección y Seguridad Infantil), que establece las condiciones de registro federal, utiliza un enfoque basado en el delito cometido, esto es, a mayor gravedad del delito que dio pie a la condena, el condenado deberá permanecer en el registro durante un mayor tiempo y cumpliendo exigencias más estrictas. Además, todos quienes se encuentren en el registro están sujetos a la notificación de su situación a la comunidad a través de los medios de publicidad que ésta indica (a través de Internet, como mínimo). El registro federal establecido por la AWA distingue tres niveles: El Nivel III constituye la clasificación más grave de un ofensor sexual. En cambio, en muchos estados, como Massachusetts, se utiliza un enfoque basado en el ofensor, el que refleja las evaluaciones individuales de riesgo o del nivel de peligrosidad actual, en los cuales se fundamentan los grados de publicidad o notificación a la comunidad que tiene cada condenado.</w:t>
      </w:r>
    </w:p>
    <w:p w:rsidR="004672A1" w:rsidRPr="004E7897" w:rsidRDefault="004672A1" w:rsidP="004672A1">
      <w:pPr>
        <w:spacing w:line="240" w:lineRule="auto"/>
        <w:jc w:val="both"/>
        <w:rPr>
          <w:rFonts w:ascii="Arial Narrow" w:eastAsia="Times New Roman" w:hAnsi="Arial Narrow" w:cs="Arial"/>
          <w:b/>
          <w:sz w:val="24"/>
          <w:szCs w:val="24"/>
          <w:lang w:val="es-ES_tradnl" w:eastAsia="es-ES"/>
        </w:rPr>
      </w:pPr>
      <w:r w:rsidRPr="004E7897">
        <w:rPr>
          <w:rFonts w:ascii="Arial Narrow" w:eastAsia="Times New Roman" w:hAnsi="Arial Narrow" w:cs="Arial"/>
          <w:b/>
          <w:sz w:val="24"/>
          <w:szCs w:val="24"/>
          <w:lang w:val="es-ES_tradnl" w:eastAsia="es-ES"/>
        </w:rPr>
        <w:t xml:space="preserve">c) Bases de datos y acceso al registro de ofensores sexuales. </w:t>
      </w:r>
      <w:r w:rsidRPr="004E7897">
        <w:rPr>
          <w:rFonts w:ascii="Arial Narrow" w:eastAsia="Times New Roman" w:hAnsi="Arial Narrow" w:cs="Arial"/>
          <w:sz w:val="24"/>
          <w:szCs w:val="24"/>
          <w:lang w:val="es-ES_tradnl" w:eastAsia="es-ES"/>
        </w:rPr>
        <w:t>En la mayoría de los estados existe un registro central a</w:t>
      </w:r>
      <w:r w:rsidRPr="004E7897">
        <w:rPr>
          <w:rFonts w:ascii="Arial Narrow" w:eastAsia="Times New Roman" w:hAnsi="Arial Narrow" w:cs="Arial"/>
          <w:b/>
          <w:sz w:val="24"/>
          <w:szCs w:val="24"/>
          <w:lang w:val="es-ES_tradnl" w:eastAsia="es-ES"/>
        </w:rPr>
        <w:t xml:space="preserve"> </w:t>
      </w:r>
      <w:r w:rsidRPr="004E7897">
        <w:rPr>
          <w:rFonts w:ascii="Arial Narrow" w:eastAsia="Times New Roman" w:hAnsi="Arial Narrow" w:cs="Arial"/>
          <w:sz w:val="24"/>
          <w:szCs w:val="24"/>
          <w:lang w:val="es-ES_tradnl" w:eastAsia="es-ES"/>
        </w:rPr>
        <w:t>cargo de la agencia de justicia criminal estatal (por ejemplo, la Policía o el</w:t>
      </w:r>
    </w:p>
    <w:p w:rsidR="004672A1" w:rsidRPr="004E7897" w:rsidRDefault="004672A1" w:rsidP="004672A1">
      <w:p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sz w:val="24"/>
          <w:szCs w:val="24"/>
          <w:lang w:val="es-ES_tradnl" w:eastAsia="es-ES"/>
        </w:rPr>
        <w:t xml:space="preserve">Departamento de Seguridad Pública). Por su parte, existen registros estatales que, como parte del programa de notificación a la comunidad, están disponibles para la ciudadanía a través de números telefónicos gratuitos, líneas de acceso en teléfonos públicos e Internet. </w:t>
      </w:r>
    </w:p>
    <w:p w:rsidR="004672A1" w:rsidRPr="004E7897" w:rsidRDefault="004672A1" w:rsidP="004672A1">
      <w:p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sz w:val="24"/>
          <w:szCs w:val="24"/>
          <w:lang w:val="es-ES_tradnl" w:eastAsia="es-ES"/>
        </w:rPr>
        <w:lastRenderedPageBreak/>
        <w:t>INFORME COMISIÓN SEGURIDAD CIUDADANA Con el fin de centralizar la información, el Departamento de Justicia de los Estados Unidos, ha implementado una página web que permite acceder a un registro nacional de ofensores sexuales. Este sitio web es herramienta de búsqueda que le permite al usuario consultar información sobre delincuentes sexuales a través de una serie de opciones de búsqueda: por nombre, por jurisdicción, por código postal, por condado (si la jurisdicción proporciona esta información), por ciudad/pueblo (si la jurisdicción proporciona esta información) o a nivel nacional.</w:t>
      </w:r>
    </w:p>
    <w:p w:rsidR="004672A1" w:rsidRPr="004E7897" w:rsidRDefault="004672A1" w:rsidP="004672A1">
      <w:pPr>
        <w:spacing w:line="240" w:lineRule="auto"/>
        <w:jc w:val="both"/>
        <w:rPr>
          <w:rFonts w:ascii="Arial Narrow" w:eastAsia="Times New Roman" w:hAnsi="Arial Narrow" w:cs="Arial"/>
          <w:b/>
          <w:sz w:val="24"/>
          <w:szCs w:val="24"/>
          <w:lang w:val="es-ES_tradnl" w:eastAsia="es-ES"/>
        </w:rPr>
      </w:pPr>
      <w:r w:rsidRPr="004E7897">
        <w:rPr>
          <w:rFonts w:ascii="Arial Narrow" w:eastAsia="Times New Roman" w:hAnsi="Arial Narrow" w:cs="Arial"/>
          <w:b/>
          <w:sz w:val="24"/>
          <w:szCs w:val="24"/>
          <w:lang w:val="es-ES_tradnl" w:eastAsia="es-ES"/>
        </w:rPr>
        <w:t>3) REINO UNIDO</w:t>
      </w:r>
    </w:p>
    <w:p w:rsidR="004672A1" w:rsidRPr="004E7897" w:rsidRDefault="004672A1" w:rsidP="004672A1">
      <w:pPr>
        <w:spacing w:line="240" w:lineRule="auto"/>
        <w:jc w:val="both"/>
        <w:rPr>
          <w:rFonts w:ascii="Arial Narrow" w:eastAsia="Times New Roman" w:hAnsi="Arial Narrow" w:cs="Arial"/>
          <w:b/>
          <w:sz w:val="24"/>
          <w:szCs w:val="24"/>
          <w:lang w:val="es-ES_tradnl" w:eastAsia="es-ES"/>
        </w:rPr>
      </w:pPr>
      <w:r w:rsidRPr="004E7897">
        <w:rPr>
          <w:rFonts w:ascii="Arial Narrow" w:eastAsia="Times New Roman" w:hAnsi="Arial Narrow" w:cs="Arial"/>
          <w:b/>
          <w:sz w:val="24"/>
          <w:szCs w:val="24"/>
          <w:lang w:val="es-ES_tradnl" w:eastAsia="es-ES"/>
        </w:rPr>
        <w:t>a) Legislación relativa al registro de ofensores sexuales.</w:t>
      </w:r>
    </w:p>
    <w:p w:rsidR="004672A1" w:rsidRPr="004E7897" w:rsidRDefault="004672A1" w:rsidP="004672A1">
      <w:p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sz w:val="24"/>
          <w:szCs w:val="24"/>
          <w:lang w:val="es-ES_tradnl" w:eastAsia="es-ES"/>
        </w:rPr>
        <w:t>La obligación de registro fue impuesta originalmente por la Ley de Ofensores Sexuales (Sex Offenders Act - SOFA) de 1997. En el año 2000, la SOFA fue modificada por la Ley de Justicia Criminal y del Servicio de Tribunales (Criminal Justice and Court Services Act), estableciendo la obligación de los condenados por delitos sexuales de notificar a la policía respecto de cualquier intento de viajar fuera del Reino Unido. Posteriormente, en el año 2003, la Ley de Delitos Sexuales (Sexual Offenses Act) derogó la SOFA y reemplazó todas sus disposiciones, endureciendo los requerimientos registrales recaídos sobre los ofensores sexuales.</w:t>
      </w:r>
    </w:p>
    <w:p w:rsidR="004672A1" w:rsidRPr="004E7897" w:rsidRDefault="004672A1" w:rsidP="004672A1">
      <w:pPr>
        <w:spacing w:line="240" w:lineRule="auto"/>
        <w:jc w:val="both"/>
        <w:rPr>
          <w:rFonts w:ascii="Arial Narrow" w:eastAsia="Times New Roman" w:hAnsi="Arial Narrow" w:cs="Arial"/>
          <w:b/>
          <w:sz w:val="24"/>
          <w:szCs w:val="24"/>
          <w:lang w:val="es-ES_tradnl" w:eastAsia="es-ES"/>
        </w:rPr>
      </w:pPr>
      <w:r w:rsidRPr="004E7897">
        <w:rPr>
          <w:rFonts w:ascii="Arial Narrow" w:eastAsia="Times New Roman" w:hAnsi="Arial Narrow" w:cs="Arial"/>
          <w:b/>
          <w:sz w:val="24"/>
          <w:szCs w:val="24"/>
          <w:lang w:val="es-ES_tradnl" w:eastAsia="es-ES"/>
        </w:rPr>
        <w:t>b) Clasificación de los ofensores sexuales.</w:t>
      </w:r>
    </w:p>
    <w:p w:rsidR="004672A1" w:rsidRPr="004E7897" w:rsidRDefault="004672A1" w:rsidP="004672A1">
      <w:p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sz w:val="24"/>
          <w:szCs w:val="24"/>
          <w:lang w:val="es-ES_tradnl" w:eastAsia="es-ES"/>
        </w:rPr>
        <w:t>Al igual que en los Estados Unidos, el registro de ofensores sexuales los clasifica en tres niveles. En el Nivel 1 se encuentran los delincuentes sexuales registrados. El Nivel 2 incluye a los delincuentes violentos, así como los condenados por un delito sexual que no exige el registro pero que supone una pena superior a 12 meses de prisión. En el Nivel 3 se incluyen a los delincuentes, condenados o no, respecto de quienes la policía y los agentes encargados de su libertad condicional consideren que presentan un riesgo grave de daño al público.</w:t>
      </w:r>
    </w:p>
    <w:p w:rsidR="004672A1" w:rsidRPr="004E7897" w:rsidRDefault="004672A1" w:rsidP="004672A1">
      <w:p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b/>
          <w:sz w:val="24"/>
          <w:szCs w:val="24"/>
          <w:lang w:val="es-ES_tradnl" w:eastAsia="es-ES"/>
        </w:rPr>
        <w:t>c) Requerimientos de registro.</w:t>
      </w:r>
      <w:r w:rsidRPr="004E7897">
        <w:rPr>
          <w:rFonts w:ascii="Arial Narrow" w:eastAsia="Times New Roman" w:hAnsi="Arial Narrow" w:cs="Arial"/>
          <w:sz w:val="24"/>
          <w:szCs w:val="24"/>
          <w:lang w:val="es-ES_tradnl" w:eastAsia="es-ES"/>
        </w:rPr>
        <w:t xml:space="preserve"> Los ofensores deben registrarse con la policía, en forma personal, dentro de las 72 horas desde que han sido condenados o liberados bajo fianza, indicando, nombre y apellido, fecha de nacimiento, domicilio, número de seguro social. La base de datos del registro contiene, además: fotografías, factor de riesgo de cada ofensor, modus operandi, y una muestra auditiva. Por su parte, la policía puede solicitar que cualquier condenado por un delito de carácter sexual sea ingresado en el registro. </w:t>
      </w:r>
    </w:p>
    <w:p w:rsidR="004672A1" w:rsidRPr="004E7897" w:rsidRDefault="004672A1" w:rsidP="004672A1">
      <w:pPr>
        <w:spacing w:line="240" w:lineRule="auto"/>
        <w:jc w:val="both"/>
        <w:rPr>
          <w:rFonts w:ascii="Arial Narrow" w:eastAsia="Times New Roman" w:hAnsi="Arial Narrow" w:cs="Arial"/>
          <w:b/>
          <w:sz w:val="24"/>
          <w:szCs w:val="24"/>
          <w:lang w:val="es-ES_tradnl" w:eastAsia="es-ES"/>
        </w:rPr>
      </w:pPr>
      <w:r w:rsidRPr="004E7897">
        <w:rPr>
          <w:rFonts w:ascii="Arial Narrow" w:eastAsia="Times New Roman" w:hAnsi="Arial Narrow" w:cs="Arial"/>
          <w:b/>
          <w:sz w:val="24"/>
          <w:szCs w:val="24"/>
          <w:lang w:val="es-ES_tradnl" w:eastAsia="es-ES"/>
        </w:rPr>
        <w:t>d) Bases de datos y acceso al registro.</w:t>
      </w:r>
    </w:p>
    <w:p w:rsidR="004672A1" w:rsidRPr="004E7897" w:rsidRDefault="004672A1" w:rsidP="004672A1">
      <w:p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sz w:val="24"/>
          <w:szCs w:val="24"/>
          <w:lang w:val="es-ES_tradnl" w:eastAsia="es-ES"/>
        </w:rPr>
        <w:t>El Registro de Ofensores Violentos y Sexuales (Violent and Sex Offender Register, Visor), constituye una base de datos a la que sólo pueden acceder miembros de la Policía y algunos funcionarios del Servicio de Libertad Condicional.</w:t>
      </w:r>
    </w:p>
    <w:p w:rsidR="004672A1" w:rsidRPr="004E7897" w:rsidRDefault="004672A1" w:rsidP="004672A1">
      <w:pPr>
        <w:spacing w:line="240" w:lineRule="auto"/>
        <w:jc w:val="both"/>
        <w:rPr>
          <w:rFonts w:ascii="Arial Narrow" w:eastAsia="Times New Roman" w:hAnsi="Arial Narrow" w:cs="Arial"/>
          <w:b/>
          <w:sz w:val="24"/>
          <w:szCs w:val="24"/>
          <w:lang w:val="es-ES_tradnl" w:eastAsia="es-ES"/>
        </w:rPr>
      </w:pPr>
      <w:r w:rsidRPr="004E7897">
        <w:rPr>
          <w:rFonts w:ascii="Arial Narrow" w:eastAsia="Times New Roman" w:hAnsi="Arial Narrow" w:cs="Arial"/>
          <w:b/>
          <w:sz w:val="24"/>
          <w:szCs w:val="24"/>
          <w:lang w:val="es-ES_tradnl" w:eastAsia="es-ES"/>
        </w:rPr>
        <w:t>4) CANADÁ</w:t>
      </w:r>
    </w:p>
    <w:p w:rsidR="004672A1" w:rsidRPr="004E7897" w:rsidRDefault="004672A1" w:rsidP="004672A1">
      <w:p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b/>
          <w:sz w:val="24"/>
          <w:szCs w:val="24"/>
          <w:lang w:val="es-ES_tradnl" w:eastAsia="es-ES"/>
        </w:rPr>
        <w:t>a) Legislación relativa al registro de ofensores sexuales.</w:t>
      </w:r>
      <w:r w:rsidRPr="004E7897">
        <w:rPr>
          <w:rFonts w:ascii="Arial Narrow" w:eastAsia="Times New Roman" w:hAnsi="Arial Narrow" w:cs="Arial"/>
          <w:sz w:val="24"/>
          <w:szCs w:val="24"/>
          <w:lang w:val="es-ES_tradnl" w:eastAsia="es-ES"/>
        </w:rPr>
        <w:t xml:space="preserve"> La Ley de Registro de la Información de los Ofensores Sexuales (Sex Offender Information Registration Act - SOIRA) crea un sistema nacional de registro destinado a mejorar la seguridad pública al ayudar a la policía a identificar a los posibles sospechosos que pudieren encontrarse cerca del lugar del delito.</w:t>
      </w:r>
    </w:p>
    <w:p w:rsidR="004672A1" w:rsidRPr="004E7897" w:rsidRDefault="004672A1" w:rsidP="004672A1">
      <w:p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sz w:val="24"/>
          <w:szCs w:val="24"/>
          <w:lang w:val="es-ES_tradnl" w:eastAsia="es-ES"/>
        </w:rPr>
        <w:lastRenderedPageBreak/>
        <w:t>b) Clasificación de los ofensores sexuales. La SOIRA no contempla una clasificación de los delincuentes sexuales de acuerdo a su peligrosidad pero si establece tres plazos distintos de registro según el delito cometido.</w:t>
      </w:r>
    </w:p>
    <w:p w:rsidR="004672A1" w:rsidRPr="004E7897" w:rsidRDefault="004672A1" w:rsidP="004672A1">
      <w:p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sz w:val="24"/>
          <w:szCs w:val="24"/>
          <w:lang w:val="es-ES_tradnl" w:eastAsia="es-ES"/>
        </w:rPr>
        <w:t>c) Requerimientos de registro. Dentro del plazo de 15 días desde que debe hacerse efectiva la obligación de registro (o 15 días desde el cambio de nombre o domicilio, y una vez al año para efectos de actualizar la información), el ofensor sexual deberá entregar a un centro de registro su nombre, apellido y alias, fecha de nacimiento y sexo, dirección; números de teléfono de su residencia y de su lugar de trabajo, datos de altura, peso y una descripción de toda marca física identificatoria (por ejemplo, tatuajes, cicatrices). Además, el registro deberá contener los datos del o los delitos sexuales por los que ha sido condenado.</w:t>
      </w:r>
    </w:p>
    <w:p w:rsidR="004672A1" w:rsidRPr="004E7897" w:rsidRDefault="004672A1" w:rsidP="004672A1">
      <w:pPr>
        <w:spacing w:line="240" w:lineRule="auto"/>
        <w:jc w:val="both"/>
        <w:rPr>
          <w:rFonts w:ascii="Arial Narrow" w:eastAsia="Times New Roman" w:hAnsi="Arial Narrow" w:cs="Arial"/>
          <w:b/>
          <w:sz w:val="24"/>
          <w:szCs w:val="24"/>
          <w:lang w:val="es-ES_tradnl" w:eastAsia="es-ES"/>
        </w:rPr>
      </w:pPr>
      <w:r w:rsidRPr="004E7897">
        <w:rPr>
          <w:rFonts w:ascii="Arial Narrow" w:eastAsia="Times New Roman" w:hAnsi="Arial Narrow" w:cs="Arial"/>
          <w:b/>
          <w:sz w:val="24"/>
          <w:szCs w:val="24"/>
          <w:lang w:val="es-ES_tradnl" w:eastAsia="es-ES"/>
        </w:rPr>
        <w:t xml:space="preserve">d) Bases de datos y acceso al registro. </w:t>
      </w:r>
    </w:p>
    <w:p w:rsidR="004672A1" w:rsidRPr="004E7897" w:rsidRDefault="004672A1" w:rsidP="004672A1">
      <w:p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sz w:val="24"/>
          <w:szCs w:val="24"/>
          <w:lang w:val="es-ES_tradnl" w:eastAsia="es-ES"/>
        </w:rPr>
        <w:t>El Registro Nacional de Ofensores Sexuales de Canadá (National Sex Offender Registry - NSOR), de 15 de diciembre de 2004, permite la identificación de todos los delincuentes sexuales registrados que viven dentro de un área geográfica en particular. El público no tiene acceso al registro, pues sólo puede proveer de información a las agencias policiales canadienses.</w:t>
      </w:r>
    </w:p>
    <w:p w:rsidR="004672A1" w:rsidRPr="004E7897" w:rsidRDefault="004672A1" w:rsidP="004672A1">
      <w:pPr>
        <w:spacing w:line="240" w:lineRule="auto"/>
        <w:jc w:val="both"/>
        <w:rPr>
          <w:rFonts w:ascii="Arial Narrow" w:eastAsia="Times New Roman" w:hAnsi="Arial Narrow" w:cs="Arial"/>
          <w:sz w:val="24"/>
          <w:szCs w:val="24"/>
          <w:lang w:val="es-ES" w:eastAsia="es-ES"/>
        </w:rPr>
      </w:pPr>
    </w:p>
    <w:p w:rsidR="004672A1" w:rsidRPr="000F7B27" w:rsidRDefault="004672A1" w:rsidP="004672A1">
      <w:pPr>
        <w:pStyle w:val="Prrafodelista"/>
        <w:numPr>
          <w:ilvl w:val="0"/>
          <w:numId w:val="1"/>
        </w:num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b/>
          <w:sz w:val="24"/>
          <w:szCs w:val="24"/>
          <w:lang w:val="es-ES_tradnl" w:eastAsia="es-ES"/>
        </w:rPr>
        <w:t xml:space="preserve">FUNDAMENTOS CONSTITUCIONALES Y LEGALES </w:t>
      </w:r>
    </w:p>
    <w:p w:rsidR="000F7B27" w:rsidRPr="004E7897" w:rsidRDefault="000F7B27" w:rsidP="000F7B27">
      <w:pPr>
        <w:pStyle w:val="Prrafodelista"/>
        <w:spacing w:line="240" w:lineRule="auto"/>
        <w:jc w:val="both"/>
        <w:rPr>
          <w:rFonts w:ascii="Arial Narrow" w:eastAsia="Times New Roman" w:hAnsi="Arial Narrow" w:cs="Arial"/>
          <w:sz w:val="24"/>
          <w:szCs w:val="24"/>
          <w:lang w:val="es-ES_tradnl" w:eastAsia="es-ES"/>
        </w:rPr>
      </w:pPr>
    </w:p>
    <w:p w:rsidR="004672A1" w:rsidRPr="004E7897" w:rsidRDefault="004672A1" w:rsidP="004672A1">
      <w:pPr>
        <w:numPr>
          <w:ilvl w:val="0"/>
          <w:numId w:val="10"/>
        </w:numPr>
        <w:spacing w:line="240" w:lineRule="auto"/>
        <w:jc w:val="both"/>
        <w:rPr>
          <w:rFonts w:ascii="Arial Narrow" w:eastAsia="Times New Roman" w:hAnsi="Arial Narrow" w:cs="Arial"/>
          <w:b/>
          <w:sz w:val="24"/>
          <w:szCs w:val="24"/>
          <w:lang w:val="es-ES_tradnl" w:eastAsia="es-ES"/>
        </w:rPr>
      </w:pPr>
      <w:r w:rsidRPr="004E7897">
        <w:rPr>
          <w:rFonts w:ascii="Arial Narrow" w:eastAsia="Times New Roman" w:hAnsi="Arial Narrow" w:cs="Arial"/>
          <w:b/>
          <w:sz w:val="24"/>
          <w:szCs w:val="24"/>
          <w:lang w:val="es-ES_tradnl" w:eastAsia="es-ES"/>
        </w:rPr>
        <w:t xml:space="preserve">Fundamento constitucional </w:t>
      </w:r>
    </w:p>
    <w:p w:rsidR="004672A1" w:rsidRPr="004E7897" w:rsidRDefault="004672A1" w:rsidP="004672A1">
      <w:p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sz w:val="24"/>
          <w:szCs w:val="24"/>
          <w:lang w:val="es-ES_tradnl" w:eastAsia="es-ES"/>
        </w:rPr>
        <w:t>ARTICULO   44.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rsidR="004672A1" w:rsidRPr="004E7897" w:rsidRDefault="004672A1" w:rsidP="004672A1">
      <w:p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sz w:val="24"/>
          <w:szCs w:val="24"/>
          <w:lang w:val="es-ES_tradnl" w:eastAsia="es-ES"/>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rsidR="004672A1" w:rsidRDefault="004672A1" w:rsidP="004672A1">
      <w:p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sz w:val="24"/>
          <w:szCs w:val="24"/>
          <w:lang w:val="es-ES_tradnl" w:eastAsia="es-ES"/>
        </w:rPr>
        <w:t>Los derechos de los niños prevalecen sobre los derechos de los demás.</w:t>
      </w:r>
    </w:p>
    <w:p w:rsidR="000F7B27" w:rsidRPr="004E7897" w:rsidRDefault="000F7B27" w:rsidP="004672A1">
      <w:pPr>
        <w:spacing w:line="240" w:lineRule="auto"/>
        <w:jc w:val="both"/>
        <w:rPr>
          <w:rFonts w:ascii="Arial Narrow" w:eastAsia="Times New Roman" w:hAnsi="Arial Narrow" w:cs="Arial"/>
          <w:sz w:val="24"/>
          <w:szCs w:val="24"/>
          <w:lang w:val="es-ES_tradnl" w:eastAsia="es-ES"/>
        </w:rPr>
      </w:pPr>
    </w:p>
    <w:p w:rsidR="004672A1" w:rsidRPr="004E7897" w:rsidRDefault="004672A1" w:rsidP="004672A1">
      <w:pPr>
        <w:numPr>
          <w:ilvl w:val="0"/>
          <w:numId w:val="10"/>
        </w:numPr>
        <w:spacing w:line="240" w:lineRule="auto"/>
        <w:jc w:val="both"/>
        <w:rPr>
          <w:rFonts w:ascii="Arial Narrow" w:eastAsia="Times New Roman" w:hAnsi="Arial Narrow" w:cs="Arial"/>
          <w:b/>
          <w:sz w:val="24"/>
          <w:szCs w:val="24"/>
          <w:lang w:val="es-ES_tradnl" w:eastAsia="es-ES"/>
        </w:rPr>
      </w:pPr>
      <w:r w:rsidRPr="004E7897">
        <w:rPr>
          <w:rFonts w:ascii="Arial Narrow" w:eastAsia="Times New Roman" w:hAnsi="Arial Narrow" w:cs="Arial"/>
          <w:b/>
          <w:sz w:val="24"/>
          <w:szCs w:val="24"/>
          <w:lang w:val="es-ES_tradnl" w:eastAsia="es-ES"/>
        </w:rPr>
        <w:t xml:space="preserve">FUNDAMENTO LEGAL </w:t>
      </w:r>
    </w:p>
    <w:p w:rsidR="004672A1" w:rsidRPr="004E7897" w:rsidRDefault="004672A1" w:rsidP="004672A1">
      <w:p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b/>
          <w:sz w:val="24"/>
          <w:szCs w:val="24"/>
          <w:lang w:val="es-ES_tradnl" w:eastAsia="es-ES"/>
        </w:rPr>
        <w:t xml:space="preserve">Ley 1329 DE 2009 </w:t>
      </w:r>
      <w:r w:rsidRPr="004E7897">
        <w:rPr>
          <w:rFonts w:ascii="Arial Narrow" w:eastAsia="Times New Roman" w:hAnsi="Arial Narrow" w:cs="Arial"/>
          <w:sz w:val="24"/>
          <w:szCs w:val="24"/>
          <w:lang w:val="es-ES_tradnl" w:eastAsia="es-ES"/>
        </w:rPr>
        <w:t>Por medio de la cual se modifica el Título IV de la Ley 599 de 2000 y se dictan otras disposiciones para contrarrestar la explotación sexual comercial de niños, niñas y adolescentes.</w:t>
      </w:r>
    </w:p>
    <w:p w:rsidR="004672A1" w:rsidRPr="004E7897" w:rsidRDefault="004672A1" w:rsidP="004672A1">
      <w:p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b/>
          <w:sz w:val="24"/>
          <w:szCs w:val="24"/>
          <w:lang w:val="es-ES_tradnl" w:eastAsia="es-ES"/>
        </w:rPr>
        <w:t xml:space="preserve">LEY 1236 DE 2008 </w:t>
      </w:r>
      <w:r w:rsidRPr="004E7897">
        <w:rPr>
          <w:rFonts w:ascii="Arial Narrow" w:eastAsia="Times New Roman" w:hAnsi="Arial Narrow" w:cs="Arial"/>
          <w:sz w:val="24"/>
          <w:szCs w:val="24"/>
          <w:lang w:val="es-ES_tradnl" w:eastAsia="es-ES"/>
        </w:rPr>
        <w:t>Por medio de la cual se modifican algunos artículos del Código Penal relativos a delitos de abuso sexual</w:t>
      </w:r>
    </w:p>
    <w:p w:rsidR="004672A1" w:rsidRPr="004E7897" w:rsidRDefault="004672A1" w:rsidP="004672A1">
      <w:p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b/>
          <w:sz w:val="24"/>
          <w:szCs w:val="24"/>
          <w:lang w:val="es-ES_tradnl" w:eastAsia="es-ES"/>
        </w:rPr>
        <w:lastRenderedPageBreak/>
        <w:t>Ley 1146 de 2007</w:t>
      </w:r>
      <w:r w:rsidRPr="004E7897">
        <w:rPr>
          <w:rFonts w:ascii="Arial Narrow" w:eastAsia="Times New Roman" w:hAnsi="Arial Narrow" w:cs="Arial"/>
          <w:sz w:val="24"/>
          <w:szCs w:val="24"/>
          <w:lang w:val="es-ES_tradnl" w:eastAsia="es-ES"/>
        </w:rPr>
        <w:t xml:space="preserve"> Prevención de la violencia sexual y atención integral de los niños, niñas y adolescentes.</w:t>
      </w:r>
    </w:p>
    <w:p w:rsidR="004672A1" w:rsidRPr="004E7897" w:rsidRDefault="004672A1" w:rsidP="004672A1">
      <w:pPr>
        <w:spacing w:line="240" w:lineRule="auto"/>
        <w:jc w:val="both"/>
        <w:rPr>
          <w:rFonts w:ascii="Arial Narrow" w:eastAsia="Times New Roman" w:hAnsi="Arial Narrow" w:cs="Arial"/>
          <w:b/>
          <w:sz w:val="24"/>
          <w:szCs w:val="24"/>
          <w:lang w:val="es-ES_tradnl" w:eastAsia="es-ES"/>
        </w:rPr>
      </w:pPr>
      <w:r w:rsidRPr="004E7897">
        <w:rPr>
          <w:rFonts w:ascii="Arial Narrow" w:eastAsia="Times New Roman" w:hAnsi="Arial Narrow" w:cs="Arial"/>
          <w:b/>
          <w:sz w:val="24"/>
          <w:szCs w:val="24"/>
          <w:lang w:val="es-ES_tradnl" w:eastAsia="es-ES"/>
        </w:rPr>
        <w:t xml:space="preserve">Ley 1098 de 2006  </w:t>
      </w:r>
      <w:r w:rsidRPr="004E7897">
        <w:rPr>
          <w:rFonts w:ascii="Arial Narrow" w:eastAsia="Times New Roman" w:hAnsi="Arial Narrow" w:cs="Arial"/>
          <w:sz w:val="24"/>
          <w:szCs w:val="24"/>
          <w:lang w:val="es-ES_tradnl" w:eastAsia="es-ES"/>
        </w:rPr>
        <w:t>Por la cual se expide el Código de la Infancia y la Adolescencia.</w:t>
      </w:r>
    </w:p>
    <w:p w:rsidR="004672A1" w:rsidRPr="004E7897" w:rsidRDefault="004672A1" w:rsidP="004672A1">
      <w:p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b/>
          <w:sz w:val="24"/>
          <w:szCs w:val="24"/>
          <w:lang w:val="es-ES_tradnl" w:eastAsia="es-ES"/>
        </w:rPr>
        <w:t xml:space="preserve">Ley 679 de 2001 </w:t>
      </w:r>
      <w:r w:rsidRPr="004E7897">
        <w:rPr>
          <w:rFonts w:ascii="Arial Narrow" w:eastAsia="Times New Roman" w:hAnsi="Arial Narrow" w:cs="Arial"/>
          <w:sz w:val="24"/>
          <w:szCs w:val="24"/>
          <w:lang w:val="es-ES_tradnl" w:eastAsia="es-ES"/>
        </w:rPr>
        <w:t>La ley tiene por objeto dictar medidas de protección contra la explotación, la pornografía, el turismo sexual y demás formas de abuso sexual con menores de edad. Objetivo que se cumplirá a través del establecimiento de normas de carácter preventivo y sancionatorio, y la expedición de otras disposiciones en desarrollo del artículo 44 de la Constitución.</w:t>
      </w:r>
    </w:p>
    <w:p w:rsidR="004672A1" w:rsidRDefault="004672A1" w:rsidP="004672A1">
      <w:p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sz w:val="24"/>
          <w:szCs w:val="24"/>
          <w:lang w:val="es-ES_tradnl" w:eastAsia="es-ES"/>
        </w:rPr>
        <w:t>La evolución del legislador en torno a la protección de los menores da cuenta de un marco normativo de prevención y reproche frente a las agresiones sexuales que se materializa mediante el aumento progresivo de las penas, la tipificación de nuevas conductas de violencia contra la integridad sexual, la ampliación de agravantes de las conductas típica y la proscripción de los subrogados penales y disminución de penas frente a estas conductas.</w:t>
      </w:r>
    </w:p>
    <w:p w:rsidR="000F7B27" w:rsidRPr="004E7897" w:rsidRDefault="000F7B27" w:rsidP="004672A1">
      <w:pPr>
        <w:spacing w:line="240" w:lineRule="auto"/>
        <w:jc w:val="both"/>
        <w:rPr>
          <w:rFonts w:ascii="Arial Narrow" w:eastAsia="Times New Roman" w:hAnsi="Arial Narrow" w:cs="Arial"/>
          <w:sz w:val="24"/>
          <w:szCs w:val="24"/>
          <w:lang w:val="es-ES_tradnl" w:eastAsia="es-ES"/>
        </w:rPr>
      </w:pPr>
    </w:p>
    <w:p w:rsidR="004672A1" w:rsidRPr="004E7897" w:rsidRDefault="004672A1" w:rsidP="004672A1">
      <w:pPr>
        <w:pStyle w:val="Prrafodelista"/>
        <w:numPr>
          <w:ilvl w:val="0"/>
          <w:numId w:val="1"/>
        </w:numPr>
        <w:spacing w:line="240" w:lineRule="auto"/>
        <w:jc w:val="both"/>
        <w:rPr>
          <w:rFonts w:ascii="Arial Narrow" w:eastAsia="Times New Roman" w:hAnsi="Arial Narrow" w:cs="Arial"/>
          <w:b/>
          <w:sz w:val="24"/>
          <w:szCs w:val="24"/>
          <w:lang w:val="es-ES_tradnl" w:eastAsia="es-ES"/>
        </w:rPr>
      </w:pPr>
      <w:r w:rsidRPr="004E7897">
        <w:rPr>
          <w:rFonts w:ascii="Arial Narrow" w:eastAsia="Times New Roman" w:hAnsi="Arial Narrow" w:cs="Arial"/>
          <w:b/>
          <w:sz w:val="24"/>
          <w:szCs w:val="24"/>
          <w:lang w:val="es-ES_tradnl" w:eastAsia="es-ES"/>
        </w:rPr>
        <w:t xml:space="preserve">ANÁLISIS DE RAZONABILIDAD, PROPORCIONALIDAD DE LA INICIATIVA </w:t>
      </w:r>
    </w:p>
    <w:p w:rsidR="004672A1" w:rsidRPr="004E7897" w:rsidRDefault="004672A1" w:rsidP="004672A1">
      <w:p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sz w:val="24"/>
          <w:szCs w:val="24"/>
          <w:lang w:val="es-ES_tradnl" w:eastAsia="es-ES"/>
        </w:rPr>
        <w:t>En este orden de ideas, cabe desarrollar un análisis de razonabilidad, proporcionalidad y ponderación a efectos de verificar la constitucionalidad de una medida de esta naturaleza en defensa de los derechos de los niños, niñas y adolescentes así:</w:t>
      </w:r>
    </w:p>
    <w:p w:rsidR="004672A1" w:rsidRPr="004E7897" w:rsidRDefault="004672A1" w:rsidP="004672A1">
      <w:pPr>
        <w:spacing w:line="240" w:lineRule="auto"/>
        <w:jc w:val="both"/>
        <w:rPr>
          <w:rFonts w:ascii="Arial Narrow" w:eastAsia="Times New Roman" w:hAnsi="Arial Narrow" w:cs="Arial"/>
          <w:sz w:val="24"/>
          <w:szCs w:val="24"/>
          <w:lang w:val="es-ES_tradnl" w:eastAsia="es-ES"/>
        </w:rPr>
      </w:pPr>
    </w:p>
    <w:p w:rsidR="004672A1" w:rsidRPr="004E7897" w:rsidRDefault="004672A1" w:rsidP="004672A1">
      <w:pPr>
        <w:numPr>
          <w:ilvl w:val="0"/>
          <w:numId w:val="13"/>
        </w:num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sz w:val="24"/>
          <w:szCs w:val="24"/>
          <w:lang w:val="es-ES_tradnl" w:eastAsia="es-ES"/>
        </w:rPr>
        <w:t>El fin perseguido con el proyecto de ley está dirigido a la preservación de los derechos de los niños, niñas y adolescentes, de tal suerte que quienes han sido condenados y han purgado su pena por delitos sexuales en contra de menores, en los términos del código penal y la legislación colombiana, tengan una inhabilidad para desplegar actividades futuras con menores en el ámbito laboral, de tal suerte que se evite la posible reincidencia en los delitos. Entonces el fin es constitucionalmente valido, en la medida que pretende la preservación de los derechos de sujetos de especial protección constitucional.</w:t>
      </w:r>
    </w:p>
    <w:p w:rsidR="004672A1" w:rsidRPr="004E7897" w:rsidRDefault="004672A1" w:rsidP="004672A1">
      <w:pPr>
        <w:numPr>
          <w:ilvl w:val="0"/>
          <w:numId w:val="13"/>
        </w:num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sz w:val="24"/>
          <w:szCs w:val="24"/>
          <w:lang w:val="es-ES_tradnl" w:eastAsia="es-ES"/>
        </w:rPr>
        <w:t xml:space="preserve">El medio utilizado es a través del certificado de antecedentes judiciales que en la actualidad lleva la policía nacional, así las cosas, a diferencia de antecedentes como el denominado “muro de la infamia”, se busca que el certificado de antecedentes judiciales tenga una sección especial de carácter reservado denominada “Inhabilidades impuestas por delitos sexuales cometidos contra menores de edad”. El Ministerio De Defensa – Policía Nacional solo expedirá certificado de inhabilidad por delitos sexuales cometidos contra menores a solicitud de las entidades públicas o  privadas obligadas a cumplir con el deber de verificación en los términos del  presente proyecto de ley. La solicitud de certificado de inhabilidades por delitos sexuales cometidos contra menores se realizara por aplicativo virtual que incorporado a la tecnología hoy existente, que incluirá una pregunta adicional donde se señale se la persona del solicitante esta aplicando a un empleo que involucre la atención, trato,  o cualquier tipo de interacción con menores de edad, y en todo caso,  la aceptación bajo gravedad de juramento que la información suministrada será utilizada de manera exclusiva para el proceso de selección personal en los cargos, oficios, profesiones que involucren una relación directa y habitual con </w:t>
      </w:r>
      <w:r w:rsidRPr="004E7897">
        <w:rPr>
          <w:rFonts w:ascii="Arial Narrow" w:eastAsia="Times New Roman" w:hAnsi="Arial Narrow" w:cs="Arial"/>
          <w:sz w:val="24"/>
          <w:szCs w:val="24"/>
          <w:lang w:val="es-ES_tradnl" w:eastAsia="es-ES"/>
        </w:rPr>
        <w:lastRenderedPageBreak/>
        <w:t xml:space="preserve">menores. Esto permite que la persona que ha purgado su pena, no resulte estigmatizada socialmente por una pena que ha cumplido, pero al tiempo, impide, conforme a los estudios de carácter penitenciario, social y de reintegración y no reincidencia, que los agresores sexuales a menores, no puedan acceder a empleos que de manera habitual involucren interacción con los menores. </w:t>
      </w:r>
    </w:p>
    <w:p w:rsidR="004672A1" w:rsidRPr="004E7897" w:rsidRDefault="004672A1" w:rsidP="004672A1">
      <w:pPr>
        <w:numPr>
          <w:ilvl w:val="0"/>
          <w:numId w:val="13"/>
        </w:num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sz w:val="24"/>
          <w:szCs w:val="24"/>
          <w:lang w:val="es-ES_tradnl" w:eastAsia="es-ES"/>
        </w:rPr>
        <w:t>Relación medio – fin. No existe otro medio menos lesivo al derecho al empleo y al trabajo del pos penado, que al tiempo, proteja los derechos de los menores. En este sentido, no constituye una carga constante para quien ha purgado su pena, sino que se limita a los empleos que involucren interacción constante con los menores de edad.</w:t>
      </w:r>
    </w:p>
    <w:p w:rsidR="004672A1" w:rsidRPr="004E7897" w:rsidRDefault="004672A1" w:rsidP="004672A1">
      <w:p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sz w:val="24"/>
          <w:szCs w:val="24"/>
          <w:lang w:val="es-ES_tradnl" w:eastAsia="es-ES"/>
        </w:rPr>
        <w:t xml:space="preserve">No existe entonces, discriminación para el acceso al empleo, buen nombre y honra del pos penado, consiste en verificar bajo parámetros señalados y con el uso de instrumentos de carácter tecnológicos por quien tiene el deber de verificación que la persona que pretende acceder a un empleo, cargo o labor que involucre menores de edad de carácter habitual, no se encuentre incurso en la inhabilidad permanente, ello por tanto no  impone condiciones restrictivas que impidan el acceso a todos los empleos, sino tan solo a aquellos para los cuales se determina la inhabilidad, y más bien comporta una actitud necesaria para la salvaguarda de los derechos de los niños ordenados por la Constitución y la Ley. </w:t>
      </w:r>
    </w:p>
    <w:p w:rsidR="004672A1" w:rsidRPr="004E7897" w:rsidRDefault="004672A1" w:rsidP="004672A1">
      <w:pPr>
        <w:spacing w:line="240" w:lineRule="auto"/>
        <w:jc w:val="both"/>
        <w:rPr>
          <w:rFonts w:ascii="Arial Narrow" w:eastAsia="Times New Roman" w:hAnsi="Arial Narrow" w:cs="Arial"/>
          <w:sz w:val="24"/>
          <w:szCs w:val="24"/>
          <w:lang w:val="es-ES_tradnl" w:eastAsia="es-ES"/>
        </w:rPr>
      </w:pPr>
      <w:r w:rsidRPr="004E7897">
        <w:rPr>
          <w:rFonts w:ascii="Arial Narrow" w:eastAsia="Times New Roman" w:hAnsi="Arial Narrow" w:cs="Arial"/>
          <w:sz w:val="24"/>
          <w:szCs w:val="24"/>
          <w:lang w:val="es-ES_tradnl" w:eastAsia="es-ES"/>
        </w:rPr>
        <w:t>Constituye, bajo los parámetros antes señalados en una exigencia razonable enderezada a garantizar los derechos de los niños, niñas y adolescentes.</w:t>
      </w:r>
    </w:p>
    <w:p w:rsidR="003E1365" w:rsidRPr="004E7897" w:rsidRDefault="003E1365" w:rsidP="004672A1">
      <w:pPr>
        <w:spacing w:line="240" w:lineRule="auto"/>
        <w:jc w:val="both"/>
        <w:rPr>
          <w:rFonts w:ascii="Arial Narrow" w:eastAsia="Times New Roman" w:hAnsi="Arial Narrow" w:cs="Arial"/>
          <w:sz w:val="24"/>
          <w:szCs w:val="24"/>
          <w:lang w:val="es-ES_tradnl" w:eastAsia="es-ES"/>
        </w:rPr>
      </w:pPr>
    </w:p>
    <w:p w:rsidR="003E1365" w:rsidRDefault="003E1365" w:rsidP="003E1365">
      <w:pPr>
        <w:pStyle w:val="Prrafodelista"/>
        <w:numPr>
          <w:ilvl w:val="0"/>
          <w:numId w:val="1"/>
        </w:numPr>
        <w:spacing w:line="240" w:lineRule="auto"/>
        <w:jc w:val="both"/>
        <w:rPr>
          <w:rFonts w:ascii="Arial Narrow" w:eastAsia="Times New Roman" w:hAnsi="Arial Narrow" w:cs="Arial"/>
          <w:b/>
          <w:sz w:val="24"/>
          <w:szCs w:val="24"/>
          <w:lang w:val="es-ES_tradnl" w:eastAsia="es-ES"/>
        </w:rPr>
      </w:pPr>
      <w:r w:rsidRPr="004E7897">
        <w:rPr>
          <w:rFonts w:ascii="Arial Narrow" w:eastAsia="Times New Roman" w:hAnsi="Arial Narrow" w:cs="Arial"/>
          <w:b/>
          <w:sz w:val="24"/>
          <w:szCs w:val="24"/>
          <w:lang w:val="es-ES_tradnl" w:eastAsia="es-ES"/>
        </w:rPr>
        <w:t>VIABILIDAD DE LA INICIATIVA COMO PROYECTO DE LEY ORDINARIA.</w:t>
      </w:r>
    </w:p>
    <w:p w:rsidR="000F7B27" w:rsidRPr="004E7897" w:rsidRDefault="000F7B27" w:rsidP="000F7B27">
      <w:pPr>
        <w:pStyle w:val="Prrafodelista"/>
        <w:spacing w:line="240" w:lineRule="auto"/>
        <w:jc w:val="both"/>
        <w:rPr>
          <w:rFonts w:ascii="Arial Narrow" w:eastAsia="Times New Roman" w:hAnsi="Arial Narrow" w:cs="Arial"/>
          <w:b/>
          <w:sz w:val="24"/>
          <w:szCs w:val="24"/>
          <w:lang w:val="es-ES_tradnl" w:eastAsia="es-ES"/>
        </w:rPr>
      </w:pPr>
    </w:p>
    <w:p w:rsidR="001A2AAD" w:rsidRPr="004E7897" w:rsidRDefault="001A2AAD" w:rsidP="001A2AAD">
      <w:pPr>
        <w:jc w:val="both"/>
        <w:rPr>
          <w:rFonts w:ascii="Arial Narrow" w:hAnsi="Arial Narrow"/>
          <w:sz w:val="24"/>
          <w:szCs w:val="24"/>
          <w:bdr w:val="none" w:sz="0" w:space="0" w:color="auto" w:frame="1"/>
          <w:shd w:val="clear" w:color="auto" w:fill="FFFFFF"/>
        </w:rPr>
      </w:pPr>
      <w:r w:rsidRPr="004E7897">
        <w:rPr>
          <w:rFonts w:ascii="Arial Narrow" w:eastAsia="Times New Roman" w:hAnsi="Arial Narrow" w:cs="Arial"/>
          <w:sz w:val="24"/>
          <w:szCs w:val="24"/>
          <w:lang w:val="es-ES_tradnl" w:eastAsia="es-ES"/>
        </w:rPr>
        <w:t xml:space="preserve">A pesar </w:t>
      </w:r>
      <w:r w:rsidR="00AE6D47" w:rsidRPr="004E7897">
        <w:rPr>
          <w:rFonts w:ascii="Arial Narrow" w:eastAsia="Times New Roman" w:hAnsi="Arial Narrow" w:cs="Arial"/>
          <w:sz w:val="24"/>
          <w:szCs w:val="24"/>
          <w:lang w:val="es-ES_tradnl" w:eastAsia="es-ES"/>
        </w:rPr>
        <w:t xml:space="preserve">que la iniciativa trastoca el ejercicio de derechos fundamentales, debe tenerse en cuenta </w:t>
      </w:r>
      <w:r w:rsidR="008117A9" w:rsidRPr="004E7897">
        <w:rPr>
          <w:rFonts w:ascii="Arial Narrow" w:eastAsia="Times New Roman" w:hAnsi="Arial Narrow" w:cs="Arial"/>
          <w:sz w:val="24"/>
          <w:szCs w:val="24"/>
          <w:lang w:val="es-ES_tradnl" w:eastAsia="es-ES"/>
        </w:rPr>
        <w:t>que,</w:t>
      </w:r>
      <w:r w:rsidR="00AE6D47" w:rsidRPr="004E7897">
        <w:rPr>
          <w:rFonts w:ascii="Arial Narrow" w:eastAsia="Times New Roman" w:hAnsi="Arial Narrow" w:cs="Arial"/>
          <w:sz w:val="24"/>
          <w:szCs w:val="24"/>
          <w:lang w:val="es-ES_tradnl" w:eastAsia="es-ES"/>
        </w:rPr>
        <w:t xml:space="preserve"> </w:t>
      </w:r>
      <w:r w:rsidRPr="004E7897">
        <w:rPr>
          <w:rFonts w:ascii="Arial Narrow" w:eastAsia="Times New Roman" w:hAnsi="Arial Narrow" w:cs="Arial"/>
          <w:sz w:val="24"/>
          <w:szCs w:val="24"/>
          <w:lang w:val="es-ES_tradnl" w:eastAsia="es-ES"/>
        </w:rPr>
        <w:t xml:space="preserve">en relación a la reserva de ley estatutaria de acuerdo a la jurisprudencia reiterada de la Corte Constitucional, </w:t>
      </w:r>
      <w:r w:rsidR="00E426ED" w:rsidRPr="004E7897">
        <w:rPr>
          <w:rFonts w:ascii="Arial Narrow" w:eastAsia="Times New Roman" w:hAnsi="Arial Narrow" w:cs="Arial"/>
          <w:sz w:val="24"/>
          <w:szCs w:val="24"/>
          <w:lang w:val="es-ES_tradnl" w:eastAsia="es-ES"/>
        </w:rPr>
        <w:t xml:space="preserve">ha de </w:t>
      </w:r>
      <w:r w:rsidRPr="004E7897">
        <w:rPr>
          <w:rFonts w:ascii="Arial Narrow" w:eastAsia="Times New Roman" w:hAnsi="Arial Narrow" w:cs="Arial"/>
          <w:sz w:val="24"/>
          <w:szCs w:val="24"/>
          <w:lang w:val="es-ES_tradnl" w:eastAsia="es-ES"/>
        </w:rPr>
        <w:t>darse una interpretación de forma restrictiva, pues de lo contrario se vaciaría la competencia del legislador ordinario (</w:t>
      </w:r>
      <w:r w:rsidRPr="004E7897">
        <w:rPr>
          <w:rFonts w:ascii="Arial Narrow" w:eastAsia="Times New Roman" w:hAnsi="Arial Narrow" w:cs="Arial"/>
          <w:b/>
          <w:sz w:val="24"/>
          <w:szCs w:val="24"/>
          <w:lang w:val="es-ES_tradnl" w:eastAsia="es-ES"/>
        </w:rPr>
        <w:t>Sentencia C-319 de 2006</w:t>
      </w:r>
      <w:r w:rsidRPr="004E7897">
        <w:rPr>
          <w:rFonts w:ascii="Arial Narrow" w:eastAsia="Times New Roman" w:hAnsi="Arial Narrow" w:cs="Arial"/>
          <w:sz w:val="24"/>
          <w:szCs w:val="24"/>
          <w:lang w:val="es-ES_tradnl" w:eastAsia="es-ES"/>
        </w:rPr>
        <w:t xml:space="preserve">). Criterio que toma relevancia frente a derechos y deberes fundamentales, pues es evidente </w:t>
      </w:r>
      <w:r w:rsidR="00C57CF6" w:rsidRPr="004E7897">
        <w:rPr>
          <w:rFonts w:ascii="Arial Narrow" w:eastAsia="Times New Roman" w:hAnsi="Arial Narrow" w:cs="Arial"/>
          <w:sz w:val="24"/>
          <w:szCs w:val="24"/>
          <w:lang w:val="es-ES_tradnl" w:eastAsia="es-ES"/>
        </w:rPr>
        <w:t xml:space="preserve">que toda norma se refiere directa o indirectamente al ejercicio o restricción de unos derechos fundamentales, así, para la Corte </w:t>
      </w:r>
      <w:r w:rsidR="00C57CF6" w:rsidRPr="004E7897">
        <w:rPr>
          <w:rFonts w:ascii="Arial Narrow" w:eastAsia="Times New Roman" w:hAnsi="Arial Narrow" w:cs="Arial"/>
          <w:b/>
          <w:sz w:val="24"/>
          <w:szCs w:val="24"/>
          <w:lang w:val="es-ES_tradnl" w:eastAsia="es-ES"/>
        </w:rPr>
        <w:t>no todo evento ligado a los derechos fundamentales debe ser tramitado mediante ley estatutaria (</w:t>
      </w:r>
      <w:r w:rsidR="00110DCB" w:rsidRPr="004E7897">
        <w:rPr>
          <w:rFonts w:ascii="Arial Narrow" w:hAnsi="Arial Narrow"/>
          <w:b/>
          <w:bCs/>
          <w:sz w:val="24"/>
          <w:szCs w:val="24"/>
          <w:bdr w:val="none" w:sz="0" w:space="0" w:color="auto" w:frame="1"/>
          <w:lang w:val="es-ES_tradnl"/>
        </w:rPr>
        <w:t>Sentencia C-007/17</w:t>
      </w:r>
      <w:r w:rsidR="00C57CF6" w:rsidRPr="004E7897">
        <w:rPr>
          <w:rFonts w:ascii="Arial Narrow" w:eastAsia="Times New Roman" w:hAnsi="Arial Narrow" w:cs="Arial"/>
          <w:b/>
          <w:sz w:val="24"/>
          <w:szCs w:val="24"/>
          <w:lang w:val="es-ES_tradnl" w:eastAsia="es-ES"/>
        </w:rPr>
        <w:t xml:space="preserve">), </w:t>
      </w:r>
      <w:r w:rsidR="00C57CF6" w:rsidRPr="004E7897">
        <w:rPr>
          <w:rFonts w:ascii="Arial Narrow" w:hAnsi="Arial Narrow"/>
          <w:sz w:val="24"/>
          <w:szCs w:val="24"/>
          <w:bdr w:val="none" w:sz="0" w:space="0" w:color="auto" w:frame="1"/>
          <w:shd w:val="clear" w:color="auto" w:fill="FFFFFF"/>
        </w:rPr>
        <w:t>la identificación del trámite a la que está sujeta la norma se hace a partir del contenido material de las disposiciones y no de su identificación formal.</w:t>
      </w:r>
    </w:p>
    <w:p w:rsidR="00C57CF6" w:rsidRPr="004E7897" w:rsidRDefault="00A64EAE" w:rsidP="001A2AAD">
      <w:pPr>
        <w:jc w:val="both"/>
        <w:rPr>
          <w:rFonts w:ascii="Arial Narrow" w:eastAsia="Times New Roman" w:hAnsi="Arial Narrow" w:cs="Arial"/>
          <w:b/>
          <w:sz w:val="24"/>
          <w:szCs w:val="24"/>
          <w:lang w:val="es-ES_tradnl" w:eastAsia="es-ES"/>
        </w:rPr>
      </w:pPr>
      <w:r w:rsidRPr="004E7897">
        <w:rPr>
          <w:rFonts w:ascii="Arial Narrow" w:eastAsia="Times New Roman" w:hAnsi="Arial Narrow" w:cs="Arial"/>
          <w:sz w:val="24"/>
          <w:szCs w:val="24"/>
          <w:lang w:val="es-ES_tradnl" w:eastAsia="es-ES"/>
        </w:rPr>
        <w:t xml:space="preserve">De esta manera, las disposiciones que deben ser objeto de regulación por medio de ley Estatutaria, concretamente en lo que respecta a los derechos fundamentales y los recursos o procedimientos para su protección, </w:t>
      </w:r>
      <w:r w:rsidRPr="004E7897">
        <w:rPr>
          <w:rFonts w:ascii="Arial Narrow" w:eastAsia="Times New Roman" w:hAnsi="Arial Narrow" w:cs="Arial"/>
          <w:b/>
          <w:sz w:val="24"/>
          <w:szCs w:val="24"/>
          <w:lang w:val="es-ES_tradnl" w:eastAsia="es-ES"/>
        </w:rPr>
        <w:t xml:space="preserve">serán aquellos que de alguna manera tocan su núcleo esencial o mediante los cuales se regula en forma íntegra, estructural o completa el derecho correspondiente. (Sentencia C-620/01).  </w:t>
      </w:r>
    </w:p>
    <w:p w:rsidR="00597D3C" w:rsidRPr="004E7897" w:rsidRDefault="00E426ED" w:rsidP="00597D3C">
      <w:pPr>
        <w:jc w:val="both"/>
        <w:rPr>
          <w:rFonts w:ascii="Arial Narrow" w:eastAsia="Times New Roman" w:hAnsi="Arial Narrow" w:cs="Arial"/>
          <w:sz w:val="24"/>
          <w:szCs w:val="24"/>
          <w:lang w:eastAsia="es-ES"/>
        </w:rPr>
      </w:pPr>
      <w:r w:rsidRPr="004E7897">
        <w:rPr>
          <w:rFonts w:ascii="Arial Narrow" w:eastAsia="Times New Roman" w:hAnsi="Arial Narrow" w:cs="Arial"/>
          <w:sz w:val="24"/>
          <w:szCs w:val="24"/>
          <w:lang w:val="es-ES_tradnl" w:eastAsia="es-ES"/>
        </w:rPr>
        <w:t xml:space="preserve">Entendiendo como </w:t>
      </w:r>
      <w:r w:rsidR="00597D3C" w:rsidRPr="004E7897">
        <w:rPr>
          <w:rFonts w:ascii="Arial Narrow" w:eastAsia="Times New Roman" w:hAnsi="Arial Narrow" w:cs="Arial"/>
          <w:sz w:val="24"/>
          <w:szCs w:val="24"/>
          <w:lang w:eastAsia="es-ES"/>
        </w:rPr>
        <w:t xml:space="preserve">núcleo </w:t>
      </w:r>
      <w:r w:rsidRPr="004E7897">
        <w:rPr>
          <w:rFonts w:ascii="Arial Narrow" w:eastAsia="Times New Roman" w:hAnsi="Arial Narrow" w:cs="Arial"/>
          <w:sz w:val="24"/>
          <w:szCs w:val="24"/>
          <w:lang w:eastAsia="es-ES"/>
        </w:rPr>
        <w:t>esencial, “</w:t>
      </w:r>
      <w:r w:rsidR="00597D3C" w:rsidRPr="004E7897">
        <w:rPr>
          <w:rFonts w:ascii="Arial Narrow" w:eastAsia="Times New Roman" w:hAnsi="Arial Narrow" w:cs="Arial"/>
          <w:iCs/>
          <w:sz w:val="24"/>
          <w:szCs w:val="24"/>
          <w:lang w:eastAsia="es-ES"/>
        </w:rPr>
        <w:t xml:space="preserve">el mínimo de contenido que el legislador debe respetar, es esa parte del derecho que lo identifica, que permite diferenciarlo de otros y que otorga un necesario grado </w:t>
      </w:r>
      <w:r w:rsidR="00597D3C" w:rsidRPr="004E7897">
        <w:rPr>
          <w:rFonts w:ascii="Arial Narrow" w:eastAsia="Times New Roman" w:hAnsi="Arial Narrow" w:cs="Arial"/>
          <w:iCs/>
          <w:sz w:val="24"/>
          <w:szCs w:val="24"/>
          <w:lang w:eastAsia="es-ES"/>
        </w:rPr>
        <w:lastRenderedPageBreak/>
        <w:t>de inmunidad respecto de la intervención de las autoridades públicas. Y, en sentido negativo debe entenderse “el núcleo esencial de un derecho fundamental como aquel sin el cual un derecho deja de ser lo que es o lo convierte en otro derecho diferente o lo que caracteriza o tipifica al derecho fundamental y sin lo cual se le quita su esencia fundamental”</w:t>
      </w:r>
    </w:p>
    <w:p w:rsidR="00597D3C" w:rsidRPr="004E7897" w:rsidRDefault="00597D3C" w:rsidP="001A2AAD">
      <w:pPr>
        <w:jc w:val="both"/>
        <w:rPr>
          <w:rFonts w:ascii="Arial Narrow" w:hAnsi="Arial Narrow"/>
          <w:iCs/>
          <w:sz w:val="24"/>
          <w:szCs w:val="24"/>
          <w:bdr w:val="none" w:sz="0" w:space="0" w:color="auto" w:frame="1"/>
        </w:rPr>
      </w:pPr>
      <w:r w:rsidRPr="004E7897">
        <w:rPr>
          <w:rFonts w:ascii="Arial Narrow" w:hAnsi="Arial Narrow"/>
          <w:sz w:val="24"/>
          <w:szCs w:val="24"/>
          <w:bdr w:val="none" w:sz="0" w:space="0" w:color="auto" w:frame="1"/>
          <w:shd w:val="clear" w:color="auto" w:fill="FFFFFF"/>
        </w:rPr>
        <w:t xml:space="preserve">La </w:t>
      </w:r>
      <w:r w:rsidR="00A64EAE" w:rsidRPr="004E7897">
        <w:rPr>
          <w:rFonts w:ascii="Arial Narrow" w:hAnsi="Arial Narrow"/>
          <w:b/>
          <w:bCs/>
          <w:sz w:val="24"/>
          <w:szCs w:val="24"/>
          <w:bdr w:val="none" w:sz="0" w:space="0" w:color="auto" w:frame="1"/>
        </w:rPr>
        <w:t>sentencia C-756 de 2008</w:t>
      </w:r>
      <w:r w:rsidR="00A64EAE" w:rsidRPr="004E7897">
        <w:rPr>
          <w:rFonts w:ascii="Arial Narrow" w:hAnsi="Arial Narrow"/>
          <w:sz w:val="24"/>
          <w:szCs w:val="24"/>
          <w:bdr w:val="none" w:sz="0" w:space="0" w:color="auto" w:frame="1"/>
          <w:shd w:val="clear" w:color="auto" w:fill="FFFFFF"/>
        </w:rPr>
        <w:t>, recogió los criterios trazados por la jurisprudencia para delimitar el ámbito de esa reserva en materia de de</w:t>
      </w:r>
      <w:r w:rsidR="004F1DD7" w:rsidRPr="004E7897">
        <w:rPr>
          <w:rFonts w:ascii="Arial Narrow" w:hAnsi="Arial Narrow"/>
          <w:sz w:val="24"/>
          <w:szCs w:val="24"/>
          <w:bdr w:val="none" w:sz="0" w:space="0" w:color="auto" w:frame="1"/>
          <w:shd w:val="clear" w:color="auto" w:fill="FFFFFF"/>
        </w:rPr>
        <w:t xml:space="preserve">rechos y deberes fundamentales agrupándola en </w:t>
      </w:r>
      <w:r w:rsidR="00A64EAE" w:rsidRPr="004E7897">
        <w:rPr>
          <w:rFonts w:ascii="Arial Narrow" w:hAnsi="Arial Narrow"/>
          <w:sz w:val="24"/>
          <w:szCs w:val="24"/>
          <w:bdr w:val="none" w:sz="0" w:space="0" w:color="auto" w:frame="1"/>
          <w:shd w:val="clear" w:color="auto" w:fill="FFFFFF"/>
        </w:rPr>
        <w:t>cinco reglas interpretativas plasmadas en la jurisprudencia para tal objetivo: “</w:t>
      </w:r>
      <w:r w:rsidR="00A64EAE" w:rsidRPr="004E7897">
        <w:rPr>
          <w:rFonts w:ascii="Arial Narrow" w:hAnsi="Arial Narrow"/>
          <w:iCs/>
          <w:sz w:val="24"/>
          <w:szCs w:val="24"/>
          <w:bdr w:val="none" w:sz="0" w:space="0" w:color="auto" w:frame="1"/>
        </w:rPr>
        <w:t>(i) La reserva de ley estatutaria en materia de derechos fundamentales es excepcional, en tanto que la regla general se mantiene a favor del legislador ordinario; </w:t>
      </w:r>
      <w:r w:rsidR="00A64EAE" w:rsidRPr="004E7897">
        <w:rPr>
          <w:rFonts w:ascii="Arial Narrow" w:hAnsi="Arial Narrow"/>
          <w:sz w:val="24"/>
          <w:szCs w:val="24"/>
          <w:bdr w:val="none" w:sz="0" w:space="0" w:color="auto" w:frame="1"/>
          <w:shd w:val="clear" w:color="auto" w:fill="FFFFFF"/>
        </w:rPr>
        <w:t>(</w:t>
      </w:r>
      <w:r w:rsidR="00A64EAE" w:rsidRPr="004E7897">
        <w:rPr>
          <w:rFonts w:ascii="Arial Narrow" w:hAnsi="Arial Narrow"/>
          <w:iCs/>
          <w:sz w:val="24"/>
          <w:szCs w:val="24"/>
          <w:bdr w:val="none" w:sz="0" w:space="0" w:color="auto" w:frame="1"/>
        </w:rPr>
        <w:t>ii) La regulación estatutaria u ordinaria no se define por la denominación adoptada por el legislador, sino por su contenido material (…). En consecuencia, el trámite legislativo ordinario o estatutario será definido por el contenido del asunto a regular y no por el nombre que el legislador designe;</w:t>
      </w:r>
      <w:r w:rsidR="00A64EAE" w:rsidRPr="004E7897">
        <w:rPr>
          <w:rFonts w:ascii="Arial Narrow" w:hAnsi="Arial Narrow"/>
          <w:sz w:val="24"/>
          <w:szCs w:val="24"/>
          <w:bdr w:val="none" w:sz="0" w:space="0" w:color="auto" w:frame="1"/>
          <w:shd w:val="clear" w:color="auto" w:fill="FFFFFF"/>
        </w:rPr>
        <w:t> (</w:t>
      </w:r>
      <w:r w:rsidR="00A64EAE" w:rsidRPr="004E7897">
        <w:rPr>
          <w:rFonts w:ascii="Arial Narrow" w:hAnsi="Arial Narrow"/>
          <w:iCs/>
          <w:sz w:val="24"/>
          <w:szCs w:val="24"/>
          <w:bdr w:val="none" w:sz="0" w:space="0" w:color="auto" w:frame="1"/>
        </w:rPr>
        <w:t xml:space="preserve">iii) Mediante ley estatutaria se regula únicamente el núcleo </w:t>
      </w:r>
      <w:r w:rsidR="00775734" w:rsidRPr="004E7897">
        <w:rPr>
          <w:rFonts w:ascii="Arial Narrow" w:hAnsi="Arial Narrow"/>
          <w:iCs/>
          <w:sz w:val="24"/>
          <w:szCs w:val="24"/>
          <w:bdr w:val="none" w:sz="0" w:space="0" w:color="auto" w:frame="1"/>
        </w:rPr>
        <w:t>esencial del derecho fundamental</w:t>
      </w:r>
      <w:r w:rsidR="00A64EAE" w:rsidRPr="004E7897">
        <w:rPr>
          <w:rFonts w:ascii="Arial Narrow" w:hAnsi="Arial Narrow"/>
          <w:iCs/>
          <w:sz w:val="24"/>
          <w:szCs w:val="24"/>
          <w:bdr w:val="none" w:sz="0" w:space="0" w:color="auto" w:frame="1"/>
        </w:rPr>
        <w:t>, de tal forma que si un derecho tiene mayor</w:t>
      </w:r>
      <w:r w:rsidR="00A64EAE" w:rsidRPr="004E7897">
        <w:rPr>
          <w:rFonts w:ascii="Arial Narrow" w:hAnsi="Arial Narrow"/>
          <w:sz w:val="24"/>
          <w:szCs w:val="24"/>
          <w:bdr w:val="none" w:sz="0" w:space="0" w:color="auto" w:frame="1"/>
          <w:shd w:val="clear" w:color="auto" w:fill="FFFFFF"/>
        </w:rPr>
        <w:t> </w:t>
      </w:r>
      <w:r w:rsidR="00A64EAE" w:rsidRPr="004E7897">
        <w:rPr>
          <w:rFonts w:ascii="Arial Narrow" w:hAnsi="Arial Narrow"/>
          <w:iCs/>
          <w:sz w:val="24"/>
          <w:szCs w:val="24"/>
          <w:bdr w:val="none" w:sz="0" w:space="0" w:color="auto" w:frame="1"/>
        </w:rPr>
        <w:t>margen de configuración legal, será menor la reglamentación por ley estatutaria; (iv) Las regulaciones integrales de los derechos fundamentales debe rea</w:t>
      </w:r>
      <w:bookmarkStart w:id="1" w:name="_ftnref32"/>
      <w:r w:rsidRPr="004E7897">
        <w:rPr>
          <w:rFonts w:ascii="Arial Narrow" w:hAnsi="Arial Narrow"/>
          <w:iCs/>
          <w:sz w:val="24"/>
          <w:szCs w:val="24"/>
          <w:bdr w:val="none" w:sz="0" w:space="0" w:color="auto" w:frame="1"/>
        </w:rPr>
        <w:t>lizarse mediante ley cualificada</w:t>
      </w:r>
      <w:bookmarkEnd w:id="1"/>
      <w:r w:rsidR="00062C40" w:rsidRPr="004E7897">
        <w:rPr>
          <w:rFonts w:ascii="Arial Narrow" w:hAnsi="Arial Narrow"/>
          <w:b/>
          <w:bCs/>
          <w:iCs/>
          <w:sz w:val="24"/>
          <w:szCs w:val="24"/>
          <w:bdr w:val="none" w:sz="0" w:space="0" w:color="auto" w:frame="1"/>
        </w:rPr>
        <w:t xml:space="preserve"> </w:t>
      </w:r>
      <w:r w:rsidR="00A64EAE" w:rsidRPr="004E7897">
        <w:rPr>
          <w:rFonts w:ascii="Arial Narrow" w:hAnsi="Arial Narrow"/>
          <w:iCs/>
          <w:sz w:val="24"/>
          <w:szCs w:val="24"/>
          <w:bdr w:val="none" w:sz="0" w:space="0" w:color="auto" w:frame="1"/>
        </w:rPr>
        <w:t xml:space="preserve">y, (v) Los elementos estructurales esenciales del derecho fundamental deben regularse mediante ley estatutaria. </w:t>
      </w:r>
    </w:p>
    <w:p w:rsidR="00597D3C" w:rsidRPr="004E7897" w:rsidRDefault="00775734" w:rsidP="001A2AAD">
      <w:pPr>
        <w:jc w:val="both"/>
        <w:rPr>
          <w:rFonts w:ascii="Arial Narrow" w:hAnsi="Arial Narrow"/>
          <w:iCs/>
          <w:sz w:val="24"/>
          <w:szCs w:val="24"/>
          <w:bdr w:val="none" w:sz="0" w:space="0" w:color="auto" w:frame="1"/>
          <w:lang w:val="es-MX"/>
        </w:rPr>
      </w:pPr>
      <w:r w:rsidRPr="004E7897">
        <w:rPr>
          <w:rFonts w:ascii="Arial Narrow" w:hAnsi="Arial Narrow"/>
          <w:iCs/>
          <w:sz w:val="24"/>
          <w:szCs w:val="24"/>
          <w:bdr w:val="none" w:sz="0" w:space="0" w:color="auto" w:frame="1"/>
        </w:rPr>
        <w:t>En esa medida tenemos</w:t>
      </w:r>
      <w:r w:rsidR="00E7500C" w:rsidRPr="004E7897">
        <w:rPr>
          <w:rFonts w:ascii="Arial Narrow" w:hAnsi="Arial Narrow"/>
          <w:iCs/>
          <w:sz w:val="24"/>
          <w:szCs w:val="24"/>
          <w:bdr w:val="none" w:sz="0" w:space="0" w:color="auto" w:frame="1"/>
        </w:rPr>
        <w:t xml:space="preserve"> que,</w:t>
      </w:r>
      <w:r w:rsidRPr="004E7897">
        <w:rPr>
          <w:rFonts w:ascii="Arial Narrow" w:hAnsi="Arial Narrow"/>
          <w:iCs/>
          <w:sz w:val="24"/>
          <w:szCs w:val="24"/>
          <w:bdr w:val="none" w:sz="0" w:space="0" w:color="auto" w:frame="1"/>
        </w:rPr>
        <w:t xml:space="preserve"> </w:t>
      </w:r>
      <w:r w:rsidR="00E7500C" w:rsidRPr="004E7897">
        <w:rPr>
          <w:rFonts w:ascii="Arial Narrow" w:hAnsi="Arial Narrow"/>
          <w:iCs/>
          <w:sz w:val="24"/>
          <w:szCs w:val="24"/>
          <w:bdr w:val="none" w:sz="0" w:space="0" w:color="auto" w:frame="1"/>
          <w:lang w:val="es-MX"/>
        </w:rPr>
        <w:t>dos premisas guían la identificación del trámite legislativo que sujeta a una norma: (i) la reserva de ley estatutaria se rige por una interpretación restrictiva, por lo que la regla general se mantiene a favor del Legislador ordinario y (ii) el análisis de la normativa objeto de cuestionamiento debe partir de su contenido material, sin im</w:t>
      </w:r>
      <w:r w:rsidR="004134C5" w:rsidRPr="004E7897">
        <w:rPr>
          <w:rFonts w:ascii="Arial Narrow" w:hAnsi="Arial Narrow"/>
          <w:iCs/>
          <w:sz w:val="24"/>
          <w:szCs w:val="24"/>
          <w:bdr w:val="none" w:sz="0" w:space="0" w:color="auto" w:frame="1"/>
          <w:lang w:val="es-MX"/>
        </w:rPr>
        <w:t>p</w:t>
      </w:r>
      <w:r w:rsidR="00DF7EE7" w:rsidRPr="004E7897">
        <w:rPr>
          <w:rFonts w:ascii="Arial Narrow" w:hAnsi="Arial Narrow"/>
          <w:iCs/>
          <w:sz w:val="24"/>
          <w:szCs w:val="24"/>
          <w:bdr w:val="none" w:sz="0" w:space="0" w:color="auto" w:frame="1"/>
          <w:lang w:val="es-MX"/>
        </w:rPr>
        <w:t>ortar su id</w:t>
      </w:r>
      <w:r w:rsidR="00110DCB" w:rsidRPr="004E7897">
        <w:rPr>
          <w:rFonts w:ascii="Arial Narrow" w:hAnsi="Arial Narrow"/>
          <w:iCs/>
          <w:sz w:val="24"/>
          <w:szCs w:val="24"/>
          <w:bdr w:val="none" w:sz="0" w:space="0" w:color="auto" w:frame="1"/>
          <w:lang w:val="es-MX"/>
        </w:rPr>
        <w:t>entificación formal.</w:t>
      </w:r>
      <w:r w:rsidR="00DF7EE7" w:rsidRPr="004E7897">
        <w:rPr>
          <w:rFonts w:ascii="Arial Narrow" w:hAnsi="Arial Narrow"/>
          <w:iCs/>
          <w:sz w:val="24"/>
          <w:szCs w:val="24"/>
          <w:bdr w:val="none" w:sz="0" w:space="0" w:color="auto" w:frame="1"/>
          <w:lang w:val="es-MX"/>
        </w:rPr>
        <w:t xml:space="preserve"> </w:t>
      </w:r>
      <w:r w:rsidR="004134C5" w:rsidRPr="004E7897">
        <w:rPr>
          <w:rFonts w:ascii="Arial Narrow" w:hAnsi="Arial Narrow"/>
          <w:iCs/>
          <w:sz w:val="24"/>
          <w:szCs w:val="24"/>
          <w:bdr w:val="none" w:sz="0" w:space="0" w:color="auto" w:frame="1"/>
          <w:lang w:val="es-MX"/>
        </w:rPr>
        <w:t xml:space="preserve"> </w:t>
      </w:r>
      <w:r w:rsidR="00110DCB" w:rsidRPr="004E7897">
        <w:rPr>
          <w:rFonts w:ascii="Arial Narrow" w:hAnsi="Arial Narrow"/>
          <w:iCs/>
          <w:sz w:val="24"/>
          <w:szCs w:val="24"/>
          <w:bdr w:val="none" w:sz="0" w:space="0" w:color="auto" w:frame="1"/>
          <w:lang w:val="es-MX"/>
        </w:rPr>
        <w:t>Adicionalmente</w:t>
      </w:r>
      <w:r w:rsidR="00E7500C" w:rsidRPr="004E7897">
        <w:rPr>
          <w:rFonts w:ascii="Arial Narrow" w:hAnsi="Arial Narrow"/>
          <w:iCs/>
          <w:sz w:val="24"/>
          <w:szCs w:val="24"/>
          <w:bdr w:val="none" w:sz="0" w:space="0" w:color="auto" w:frame="1"/>
          <w:lang w:val="es-MX"/>
        </w:rPr>
        <w:t xml:space="preserve">, </w:t>
      </w:r>
      <w:r w:rsidR="004134C5" w:rsidRPr="004E7897">
        <w:rPr>
          <w:rFonts w:ascii="Arial Narrow" w:hAnsi="Arial Narrow"/>
          <w:iCs/>
          <w:sz w:val="24"/>
          <w:szCs w:val="24"/>
          <w:bdr w:val="none" w:sz="0" w:space="0" w:color="auto" w:frame="1"/>
          <w:lang w:val="es-MX"/>
        </w:rPr>
        <w:t xml:space="preserve">existen </w:t>
      </w:r>
      <w:r w:rsidR="00E7500C" w:rsidRPr="004E7897">
        <w:rPr>
          <w:rFonts w:ascii="Arial Narrow" w:hAnsi="Arial Narrow"/>
          <w:iCs/>
          <w:sz w:val="24"/>
          <w:szCs w:val="24"/>
          <w:bdr w:val="none" w:sz="0" w:space="0" w:color="auto" w:frame="1"/>
          <w:lang w:val="es-MX"/>
        </w:rPr>
        <w:t>criterios determinantes para establecer la aplicabilidad de la reserva de ley estatutaria en materia de d</w:t>
      </w:r>
      <w:r w:rsidR="004134C5" w:rsidRPr="004E7897">
        <w:rPr>
          <w:rFonts w:ascii="Arial Narrow" w:hAnsi="Arial Narrow"/>
          <w:iCs/>
          <w:sz w:val="24"/>
          <w:szCs w:val="24"/>
          <w:bdr w:val="none" w:sz="0" w:space="0" w:color="auto" w:frame="1"/>
          <w:lang w:val="es-MX"/>
        </w:rPr>
        <w:t xml:space="preserve">erechos y deberes fundamentales. </w:t>
      </w:r>
    </w:p>
    <w:p w:rsidR="00597D3C" w:rsidRPr="004E7897" w:rsidRDefault="004134C5" w:rsidP="00AB137C">
      <w:pPr>
        <w:jc w:val="both"/>
        <w:rPr>
          <w:rFonts w:ascii="Arial Narrow" w:eastAsia="Times New Roman" w:hAnsi="Arial Narrow" w:cs="Times New Roman"/>
          <w:sz w:val="24"/>
          <w:szCs w:val="24"/>
          <w:bdr w:val="none" w:sz="0" w:space="0" w:color="auto" w:frame="1"/>
          <w:lang w:eastAsia="es-CO"/>
        </w:rPr>
      </w:pPr>
      <w:r w:rsidRPr="004E7897">
        <w:rPr>
          <w:rFonts w:ascii="Arial Narrow" w:hAnsi="Arial Narrow"/>
          <w:iCs/>
          <w:sz w:val="24"/>
          <w:szCs w:val="24"/>
          <w:bdr w:val="none" w:sz="0" w:space="0" w:color="auto" w:frame="1"/>
          <w:lang w:val="es-MX"/>
        </w:rPr>
        <w:t xml:space="preserve">Al aplicar estas premisas al contenido material de la iniciativa objeto de estudio, tenemos que </w:t>
      </w:r>
      <w:r w:rsidR="00AB137C" w:rsidRPr="004E7897">
        <w:rPr>
          <w:rFonts w:ascii="Arial Narrow" w:hAnsi="Arial Narrow"/>
          <w:b/>
          <w:iCs/>
          <w:sz w:val="24"/>
          <w:szCs w:val="24"/>
          <w:bdr w:val="none" w:sz="0" w:space="0" w:color="auto" w:frame="1"/>
          <w:lang w:val="es-MX"/>
        </w:rPr>
        <w:t>I</w:t>
      </w:r>
      <w:r w:rsidRPr="004E7897">
        <w:rPr>
          <w:rFonts w:ascii="Arial Narrow" w:hAnsi="Arial Narrow"/>
          <w:b/>
          <w:iCs/>
          <w:sz w:val="24"/>
          <w:szCs w:val="24"/>
          <w:bdr w:val="none" w:sz="0" w:space="0" w:color="auto" w:frame="1"/>
          <w:lang w:val="es-MX"/>
        </w:rPr>
        <w:t>)</w:t>
      </w:r>
      <w:r w:rsidRPr="004E7897">
        <w:rPr>
          <w:rFonts w:ascii="Arial Narrow" w:hAnsi="Arial Narrow"/>
          <w:iCs/>
          <w:sz w:val="24"/>
          <w:szCs w:val="24"/>
          <w:bdr w:val="none" w:sz="0" w:space="0" w:color="auto" w:frame="1"/>
          <w:lang w:val="es-MX"/>
        </w:rPr>
        <w:t xml:space="preserve"> El proyecto de ley modifica una ley ordinaria (</w:t>
      </w:r>
      <w:r w:rsidRPr="004E7897">
        <w:rPr>
          <w:rFonts w:ascii="Arial Narrow" w:hAnsi="Arial Narrow"/>
          <w:b/>
          <w:iCs/>
          <w:sz w:val="24"/>
          <w:szCs w:val="24"/>
          <w:bdr w:val="none" w:sz="0" w:space="0" w:color="auto" w:frame="1"/>
          <w:lang w:val="es-MX"/>
        </w:rPr>
        <w:t>ley</w:t>
      </w:r>
      <w:r w:rsidR="00AB137C" w:rsidRPr="004E7897">
        <w:rPr>
          <w:rFonts w:ascii="Arial Narrow" w:hAnsi="Arial Narrow"/>
          <w:b/>
          <w:iCs/>
          <w:sz w:val="24"/>
          <w:szCs w:val="24"/>
          <w:bdr w:val="none" w:sz="0" w:space="0" w:color="auto" w:frame="1"/>
          <w:lang w:val="es-MX"/>
        </w:rPr>
        <w:t xml:space="preserve"> 599 de 200 Código Penal</w:t>
      </w:r>
      <w:r w:rsidR="00AB137C" w:rsidRPr="004E7897">
        <w:rPr>
          <w:rFonts w:ascii="Arial Narrow" w:hAnsi="Arial Narrow"/>
          <w:iCs/>
          <w:sz w:val="24"/>
          <w:szCs w:val="24"/>
          <w:bdr w:val="none" w:sz="0" w:space="0" w:color="auto" w:frame="1"/>
          <w:lang w:val="es-MX"/>
        </w:rPr>
        <w:t xml:space="preserve">), ahora </w:t>
      </w:r>
      <w:r w:rsidR="008117A9" w:rsidRPr="004E7897">
        <w:rPr>
          <w:rFonts w:ascii="Arial Narrow" w:hAnsi="Arial Narrow"/>
          <w:iCs/>
          <w:sz w:val="24"/>
          <w:szCs w:val="24"/>
          <w:bdr w:val="none" w:sz="0" w:space="0" w:color="auto" w:frame="1"/>
          <w:lang w:val="es-MX"/>
        </w:rPr>
        <w:t>bien,</w:t>
      </w:r>
      <w:r w:rsidR="00AB137C" w:rsidRPr="004E7897">
        <w:rPr>
          <w:rFonts w:ascii="Arial Narrow" w:hAnsi="Arial Narrow"/>
          <w:iCs/>
          <w:sz w:val="24"/>
          <w:szCs w:val="24"/>
          <w:bdr w:val="none" w:sz="0" w:space="0" w:color="auto" w:frame="1"/>
          <w:lang w:val="es-MX"/>
        </w:rPr>
        <w:t xml:space="preserve"> según el artículo </w:t>
      </w:r>
      <w:r w:rsidR="00597D3C" w:rsidRPr="004E7897">
        <w:rPr>
          <w:rFonts w:ascii="Arial Narrow" w:eastAsia="Times New Roman" w:hAnsi="Arial Narrow" w:cs="Times New Roman"/>
          <w:sz w:val="24"/>
          <w:szCs w:val="24"/>
          <w:bdr w:val="none" w:sz="0" w:space="0" w:color="auto" w:frame="1"/>
          <w:lang w:eastAsia="es-CO"/>
        </w:rPr>
        <w:t>150-2</w:t>
      </w:r>
      <w:r w:rsidR="00AB137C" w:rsidRPr="004E7897">
        <w:rPr>
          <w:rFonts w:ascii="Arial Narrow" w:eastAsia="Times New Roman" w:hAnsi="Arial Narrow" w:cs="Times New Roman"/>
          <w:sz w:val="24"/>
          <w:szCs w:val="24"/>
          <w:bdr w:val="none" w:sz="0" w:space="0" w:color="auto" w:frame="1"/>
          <w:lang w:eastAsia="es-CO"/>
        </w:rPr>
        <w:t xml:space="preserve"> Constitucional </w:t>
      </w:r>
      <w:r w:rsidR="00597D3C" w:rsidRPr="004E7897">
        <w:rPr>
          <w:rFonts w:ascii="Arial Narrow" w:eastAsia="Times New Roman" w:hAnsi="Arial Narrow" w:cs="Times New Roman"/>
          <w:sz w:val="24"/>
          <w:szCs w:val="24"/>
          <w:bdr w:val="none" w:sz="0" w:space="0" w:color="auto" w:frame="1"/>
          <w:lang w:eastAsia="es-CO"/>
        </w:rPr>
        <w:t xml:space="preserve">otorga expresamente </w:t>
      </w:r>
      <w:r w:rsidR="00AB137C" w:rsidRPr="004E7897">
        <w:rPr>
          <w:rFonts w:ascii="Arial Narrow" w:eastAsia="Times New Roman" w:hAnsi="Arial Narrow" w:cs="Times New Roman"/>
          <w:sz w:val="24"/>
          <w:szCs w:val="24"/>
          <w:bdr w:val="none" w:sz="0" w:space="0" w:color="auto" w:frame="1"/>
          <w:lang w:eastAsia="es-CO"/>
        </w:rPr>
        <w:t xml:space="preserve">competencia </w:t>
      </w:r>
      <w:r w:rsidR="00597D3C" w:rsidRPr="004E7897">
        <w:rPr>
          <w:rFonts w:ascii="Arial Narrow" w:eastAsia="Times New Roman" w:hAnsi="Arial Narrow" w:cs="Times New Roman"/>
          <w:sz w:val="24"/>
          <w:szCs w:val="24"/>
          <w:bdr w:val="none" w:sz="0" w:space="0" w:color="auto" w:frame="1"/>
          <w:lang w:eastAsia="es-CO"/>
        </w:rPr>
        <w:t xml:space="preserve">al Legislador ordinario </w:t>
      </w:r>
      <w:bookmarkStart w:id="2" w:name="_ftnref41"/>
      <w:r w:rsidR="00AB137C" w:rsidRPr="004E7897">
        <w:rPr>
          <w:rFonts w:ascii="Arial Narrow" w:eastAsia="Times New Roman" w:hAnsi="Arial Narrow" w:cs="Times New Roman"/>
          <w:sz w:val="24"/>
          <w:szCs w:val="24"/>
          <w:bdr w:val="none" w:sz="0" w:space="0" w:color="auto" w:frame="1"/>
          <w:lang w:eastAsia="es-CO"/>
        </w:rPr>
        <w:t xml:space="preserve">para su </w:t>
      </w:r>
      <w:bookmarkEnd w:id="2"/>
      <w:r w:rsidR="00AB137C" w:rsidRPr="004E7897">
        <w:rPr>
          <w:rFonts w:ascii="Arial Narrow" w:eastAsia="Times New Roman" w:hAnsi="Arial Narrow" w:cs="Times New Roman"/>
          <w:sz w:val="24"/>
          <w:szCs w:val="24"/>
          <w:bdr w:val="none" w:sz="0" w:space="0" w:color="auto" w:frame="1"/>
          <w:lang w:eastAsia="es-CO"/>
        </w:rPr>
        <w:t xml:space="preserve">expedición. La Corte </w:t>
      </w:r>
      <w:r w:rsidR="00597D3C" w:rsidRPr="004E7897">
        <w:rPr>
          <w:rFonts w:ascii="Arial Narrow" w:eastAsia="Times New Roman" w:hAnsi="Arial Narrow" w:cs="Times New Roman"/>
          <w:sz w:val="24"/>
          <w:szCs w:val="24"/>
          <w:bdr w:val="none" w:sz="0" w:space="0" w:color="auto" w:frame="1"/>
          <w:lang w:eastAsia="es-CO"/>
        </w:rPr>
        <w:t>ha sido uniforme al reiterar que, en principio, el trámite que les corresponde es el de una ley ordinaria y no el especial de una ley estatutaria, a pesar de que este tipo de normativa regule temas relacionados con derechos fundamentales y la administración de justicia, dos de las materias previstas por la Constitución Política en el artículo 152</w:t>
      </w:r>
      <w:r w:rsidR="00AB137C" w:rsidRPr="004E7897">
        <w:rPr>
          <w:rFonts w:ascii="Arial Narrow" w:eastAsia="Times New Roman" w:hAnsi="Arial Narrow" w:cs="Times New Roman"/>
          <w:sz w:val="24"/>
          <w:szCs w:val="24"/>
          <w:u w:val="single"/>
          <w:bdr w:val="none" w:sz="0" w:space="0" w:color="auto" w:frame="1"/>
          <w:lang w:eastAsia="es-CO"/>
        </w:rPr>
        <w:t xml:space="preserve"> </w:t>
      </w:r>
      <w:r w:rsidR="00597D3C" w:rsidRPr="004E7897">
        <w:rPr>
          <w:rFonts w:ascii="Arial Narrow" w:eastAsia="Times New Roman" w:hAnsi="Arial Narrow" w:cs="Times New Roman"/>
          <w:sz w:val="24"/>
          <w:szCs w:val="24"/>
          <w:bdr w:val="none" w:sz="0" w:space="0" w:color="auto" w:frame="1"/>
          <w:lang w:eastAsia="es-CO"/>
        </w:rPr>
        <w:t>para ser aprobados m</w:t>
      </w:r>
      <w:r w:rsidR="00AB137C" w:rsidRPr="004E7897">
        <w:rPr>
          <w:rFonts w:ascii="Arial Narrow" w:eastAsia="Times New Roman" w:hAnsi="Arial Narrow" w:cs="Times New Roman"/>
          <w:sz w:val="24"/>
          <w:szCs w:val="24"/>
          <w:bdr w:val="none" w:sz="0" w:space="0" w:color="auto" w:frame="1"/>
          <w:lang w:eastAsia="es-CO"/>
        </w:rPr>
        <w:t xml:space="preserve">ediante el trámite cualificado; la jurisprudencia </w:t>
      </w:r>
      <w:r w:rsidR="00597D3C" w:rsidRPr="004E7897">
        <w:rPr>
          <w:rFonts w:ascii="Arial Narrow" w:eastAsia="Times New Roman" w:hAnsi="Arial Narrow" w:cs="Times New Roman"/>
          <w:sz w:val="24"/>
          <w:szCs w:val="24"/>
          <w:bdr w:val="none" w:sz="0" w:space="0" w:color="auto" w:frame="1"/>
          <w:lang w:eastAsia="es-CO"/>
        </w:rPr>
        <w:t>ha sostenido que las reglas de procedimiento penal no tienen reserva de ley estatutaria, ni la tipificación de delitos o sanciones. De este modo, se han declarado inexequibles provisiones de la Ley de Administración de Justicia que regulaban materias propias del Código de Procedimiento Penal</w:t>
      </w:r>
      <w:r w:rsidR="00110DCB" w:rsidRPr="004E7897">
        <w:rPr>
          <w:rFonts w:ascii="Arial Narrow" w:eastAsia="Times New Roman" w:hAnsi="Arial Narrow" w:cs="Times New Roman"/>
          <w:sz w:val="24"/>
          <w:szCs w:val="24"/>
          <w:bdr w:val="none" w:sz="0" w:space="0" w:color="auto" w:frame="1"/>
          <w:lang w:eastAsia="es-CO"/>
        </w:rPr>
        <w:t xml:space="preserve"> </w:t>
      </w:r>
      <w:r w:rsidR="00597D3C" w:rsidRPr="004E7897">
        <w:rPr>
          <w:rFonts w:ascii="Arial Narrow" w:eastAsia="Times New Roman" w:hAnsi="Arial Narrow" w:cs="Times New Roman"/>
          <w:sz w:val="24"/>
          <w:szCs w:val="24"/>
          <w:bdr w:val="none" w:sz="0" w:space="0" w:color="auto" w:frame="1"/>
          <w:lang w:eastAsia="es-CO"/>
        </w:rPr>
        <w:t>y se han declarado exequibles los Código</w:t>
      </w:r>
      <w:bookmarkStart w:id="3" w:name="_ftnref45"/>
      <w:r w:rsidR="00110DCB" w:rsidRPr="004E7897">
        <w:rPr>
          <w:rFonts w:ascii="Arial Narrow" w:eastAsia="Times New Roman" w:hAnsi="Arial Narrow" w:cs="Times New Roman"/>
          <w:sz w:val="24"/>
          <w:szCs w:val="24"/>
          <w:bdr w:val="none" w:sz="0" w:space="0" w:color="auto" w:frame="1"/>
          <w:lang w:eastAsia="es-CO"/>
        </w:rPr>
        <w:t>s Penal y de Procedimiento Penal</w:t>
      </w:r>
      <w:bookmarkEnd w:id="3"/>
      <w:r w:rsidR="00597D3C" w:rsidRPr="004E7897">
        <w:rPr>
          <w:rFonts w:ascii="Arial Narrow" w:eastAsia="Times New Roman" w:hAnsi="Arial Narrow" w:cs="Times New Roman"/>
          <w:sz w:val="24"/>
          <w:szCs w:val="24"/>
          <w:bdr w:val="none" w:sz="0" w:space="0" w:color="auto" w:frame="1"/>
          <w:lang w:eastAsia="es-CO"/>
        </w:rPr>
        <w:t>; así como normas que han modificado este último</w:t>
      </w:r>
      <w:r w:rsidR="00CE3F09" w:rsidRPr="004E7897">
        <w:rPr>
          <w:rFonts w:ascii="Arial Narrow" w:eastAsia="Times New Roman" w:hAnsi="Arial Narrow" w:cs="Times New Roman"/>
          <w:sz w:val="24"/>
          <w:szCs w:val="24"/>
          <w:bdr w:val="none" w:sz="0" w:space="0" w:color="auto" w:frame="1"/>
          <w:lang w:eastAsia="es-CO"/>
        </w:rPr>
        <w:t xml:space="preserve"> </w:t>
      </w:r>
      <w:r w:rsidR="00110DCB" w:rsidRPr="004E7897">
        <w:rPr>
          <w:rFonts w:ascii="Arial Narrow" w:eastAsia="Times New Roman" w:hAnsi="Arial Narrow" w:cs="Times New Roman"/>
          <w:sz w:val="24"/>
          <w:szCs w:val="24"/>
          <w:bdr w:val="none" w:sz="0" w:space="0" w:color="auto" w:frame="1"/>
          <w:lang w:eastAsia="es-CO"/>
        </w:rPr>
        <w:t>(</w:t>
      </w:r>
      <w:r w:rsidR="00110DCB" w:rsidRPr="004E7897">
        <w:rPr>
          <w:rFonts w:ascii="Arial Narrow" w:hAnsi="Arial Narrow"/>
          <w:b/>
          <w:bCs/>
          <w:sz w:val="24"/>
          <w:szCs w:val="24"/>
          <w:bdr w:val="none" w:sz="0" w:space="0" w:color="auto" w:frame="1"/>
          <w:lang w:val="es-ES_tradnl"/>
        </w:rPr>
        <w:t>Sentencia C-007/17)</w:t>
      </w:r>
      <w:r w:rsidR="00AB137C" w:rsidRPr="004E7897">
        <w:rPr>
          <w:rFonts w:ascii="Arial Narrow" w:eastAsia="Times New Roman" w:hAnsi="Arial Narrow" w:cs="Times New Roman"/>
          <w:sz w:val="24"/>
          <w:szCs w:val="24"/>
          <w:bdr w:val="none" w:sz="0" w:space="0" w:color="auto" w:frame="1"/>
          <w:lang w:eastAsia="es-CO"/>
        </w:rPr>
        <w:t xml:space="preserve"> </w:t>
      </w:r>
    </w:p>
    <w:p w:rsidR="00AB137C" w:rsidRDefault="00AB137C" w:rsidP="00AB137C">
      <w:pPr>
        <w:jc w:val="both"/>
        <w:rPr>
          <w:rFonts w:ascii="Arial Narrow" w:hAnsi="Arial Narrow"/>
          <w:sz w:val="24"/>
          <w:szCs w:val="24"/>
          <w:shd w:val="clear" w:color="auto" w:fill="FFFFFF"/>
        </w:rPr>
      </w:pPr>
      <w:r w:rsidRPr="004E7897">
        <w:rPr>
          <w:rFonts w:ascii="Arial Narrow" w:eastAsia="Times New Roman" w:hAnsi="Arial Narrow" w:cs="Times New Roman"/>
          <w:b/>
          <w:sz w:val="24"/>
          <w:szCs w:val="24"/>
          <w:bdr w:val="none" w:sz="0" w:space="0" w:color="auto" w:frame="1"/>
          <w:lang w:eastAsia="es-CO"/>
        </w:rPr>
        <w:t>II)</w:t>
      </w:r>
      <w:r w:rsidRPr="004E7897">
        <w:rPr>
          <w:rFonts w:ascii="Arial Narrow" w:eastAsia="Times New Roman" w:hAnsi="Arial Narrow" w:cs="Times New Roman"/>
          <w:sz w:val="24"/>
          <w:szCs w:val="24"/>
          <w:bdr w:val="none" w:sz="0" w:space="0" w:color="auto" w:frame="1"/>
          <w:lang w:eastAsia="es-CO"/>
        </w:rPr>
        <w:t xml:space="preserve"> Si bien se crea un registro de inhabilidades, que involucra la restricción de algunos derechos fundamentales, </w:t>
      </w:r>
      <w:r w:rsidR="00E426ED" w:rsidRPr="004E7897">
        <w:rPr>
          <w:rFonts w:ascii="Arial Narrow" w:eastAsia="Times New Roman" w:hAnsi="Arial Narrow" w:cs="Times New Roman"/>
          <w:sz w:val="24"/>
          <w:szCs w:val="24"/>
          <w:bdr w:val="none" w:sz="0" w:space="0" w:color="auto" w:frame="1"/>
          <w:lang w:eastAsia="es-CO"/>
        </w:rPr>
        <w:t xml:space="preserve">no trastoca el núcleo estructural de los mismos; ni tiene por </w:t>
      </w:r>
      <w:r w:rsidR="00E426ED" w:rsidRPr="004E7897">
        <w:rPr>
          <w:rFonts w:ascii="Arial Narrow" w:hAnsi="Arial Narrow"/>
          <w:b/>
          <w:bCs/>
          <w:sz w:val="24"/>
          <w:szCs w:val="24"/>
          <w:bdr w:val="none" w:sz="0" w:space="0" w:color="auto" w:frame="1"/>
          <w:shd w:val="clear" w:color="auto" w:fill="FFFFFF"/>
        </w:rPr>
        <w:t xml:space="preserve">objeto </w:t>
      </w:r>
      <w:r w:rsidR="008117A9" w:rsidRPr="004E7897">
        <w:rPr>
          <w:rFonts w:ascii="Arial Narrow" w:hAnsi="Arial Narrow"/>
          <w:b/>
          <w:bCs/>
          <w:sz w:val="24"/>
          <w:szCs w:val="24"/>
          <w:bdr w:val="none" w:sz="0" w:space="0" w:color="auto" w:frame="1"/>
          <w:shd w:val="clear" w:color="auto" w:fill="FFFFFF"/>
        </w:rPr>
        <w:t>directo</w:t>
      </w:r>
      <w:r w:rsidR="008117A9" w:rsidRPr="004E7897">
        <w:rPr>
          <w:rFonts w:ascii="Arial Narrow" w:hAnsi="Arial Narrow"/>
          <w:sz w:val="24"/>
          <w:szCs w:val="24"/>
          <w:shd w:val="clear" w:color="auto" w:fill="FFFFFF"/>
        </w:rPr>
        <w:t> desarrollar</w:t>
      </w:r>
      <w:r w:rsidR="00E426ED" w:rsidRPr="004E7897">
        <w:rPr>
          <w:rFonts w:ascii="Arial Narrow" w:hAnsi="Arial Narrow"/>
          <w:sz w:val="24"/>
          <w:szCs w:val="24"/>
          <w:shd w:val="clear" w:color="auto" w:fill="FFFFFF"/>
        </w:rPr>
        <w:t xml:space="preserve"> el régimen   de derechos fundamentales con la pretensión de ser una regulación “</w:t>
      </w:r>
      <w:r w:rsidR="00E426ED" w:rsidRPr="004E7897">
        <w:rPr>
          <w:rFonts w:ascii="Arial Narrow" w:hAnsi="Arial Narrow"/>
          <w:i/>
          <w:iCs/>
          <w:sz w:val="24"/>
          <w:szCs w:val="24"/>
          <w:bdr w:val="none" w:sz="0" w:space="0" w:color="auto" w:frame="1"/>
          <w:shd w:val="clear" w:color="auto" w:fill="FFFFFF"/>
        </w:rPr>
        <w:t>integral, completa y sistemática</w:t>
      </w:r>
      <w:r w:rsidR="00E426ED" w:rsidRPr="004E7897">
        <w:rPr>
          <w:rFonts w:ascii="Arial Narrow" w:hAnsi="Arial Narrow"/>
          <w:sz w:val="24"/>
          <w:szCs w:val="24"/>
          <w:shd w:val="clear" w:color="auto" w:fill="FFFFFF"/>
        </w:rPr>
        <w:t>”</w:t>
      </w:r>
      <w:r w:rsidR="00110DCB" w:rsidRPr="004E7897">
        <w:rPr>
          <w:rFonts w:ascii="Arial Narrow" w:hAnsi="Arial Narrow"/>
          <w:sz w:val="24"/>
          <w:szCs w:val="24"/>
          <w:shd w:val="clear" w:color="auto" w:fill="FFFFFF"/>
        </w:rPr>
        <w:t>.</w:t>
      </w:r>
    </w:p>
    <w:p w:rsidR="00110DCB" w:rsidRPr="004E7897" w:rsidRDefault="00110DCB" w:rsidP="00AB137C">
      <w:pPr>
        <w:jc w:val="both"/>
        <w:rPr>
          <w:rFonts w:ascii="Arial Narrow" w:hAnsi="Arial Narrow"/>
          <w:sz w:val="24"/>
          <w:szCs w:val="24"/>
          <w:shd w:val="clear" w:color="auto" w:fill="FFFFFF"/>
        </w:rPr>
      </w:pPr>
      <w:r w:rsidRPr="004E7897">
        <w:rPr>
          <w:rFonts w:ascii="Arial Narrow" w:hAnsi="Arial Narrow"/>
          <w:sz w:val="24"/>
          <w:szCs w:val="24"/>
          <w:shd w:val="clear" w:color="auto" w:fill="FFFFFF"/>
        </w:rPr>
        <w:lastRenderedPageBreak/>
        <w:t>En e</w:t>
      </w:r>
      <w:r w:rsidR="00F863FD" w:rsidRPr="004E7897">
        <w:rPr>
          <w:rFonts w:ascii="Arial Narrow" w:hAnsi="Arial Narrow"/>
          <w:sz w:val="24"/>
          <w:szCs w:val="24"/>
          <w:shd w:val="clear" w:color="auto" w:fill="FFFFFF"/>
        </w:rPr>
        <w:t xml:space="preserve">sa medida, al no configurarse los criterios restrictivos de las leyes estatutarias, se aplica la cláusula general, según la </w:t>
      </w:r>
      <w:r w:rsidR="00723788" w:rsidRPr="004E7897">
        <w:rPr>
          <w:rFonts w:ascii="Arial Narrow" w:hAnsi="Arial Narrow"/>
          <w:sz w:val="24"/>
          <w:szCs w:val="24"/>
          <w:shd w:val="clear" w:color="auto" w:fill="FFFFFF"/>
        </w:rPr>
        <w:t>cual, es</w:t>
      </w:r>
      <w:r w:rsidR="00F863FD" w:rsidRPr="004E7897">
        <w:rPr>
          <w:rFonts w:ascii="Arial Narrow" w:hAnsi="Arial Narrow"/>
          <w:sz w:val="24"/>
          <w:szCs w:val="24"/>
          <w:shd w:val="clear" w:color="auto" w:fill="FFFFFF"/>
        </w:rPr>
        <w:t xml:space="preserve"> de competencia del legislador ordinario la expedición de un régimen de inhabilidad que propende a la protección de los derechos de los niñas, niños y adolescentes del territorio nacional. </w:t>
      </w:r>
    </w:p>
    <w:p w:rsidR="000F7B27" w:rsidRDefault="000F7B27" w:rsidP="00E42954">
      <w:pPr>
        <w:tabs>
          <w:tab w:val="left" w:pos="2860"/>
        </w:tabs>
        <w:spacing w:line="240" w:lineRule="auto"/>
        <w:jc w:val="both"/>
        <w:rPr>
          <w:rFonts w:ascii="Arial Narrow" w:hAnsi="Arial Narrow" w:cs="Arial"/>
          <w:b/>
          <w:sz w:val="24"/>
          <w:szCs w:val="24"/>
          <w:lang w:val="es-ES_tradnl"/>
        </w:rPr>
      </w:pPr>
    </w:p>
    <w:p w:rsidR="00D211CD" w:rsidRPr="004E7897" w:rsidRDefault="00D211CD" w:rsidP="00E42954">
      <w:pPr>
        <w:tabs>
          <w:tab w:val="left" w:pos="2860"/>
        </w:tabs>
        <w:spacing w:line="240" w:lineRule="auto"/>
        <w:jc w:val="both"/>
        <w:rPr>
          <w:rFonts w:ascii="Arial Narrow" w:hAnsi="Arial Narrow" w:cs="Arial"/>
          <w:b/>
          <w:sz w:val="24"/>
          <w:szCs w:val="24"/>
          <w:lang w:val="es-ES_tradnl"/>
        </w:rPr>
      </w:pPr>
      <w:r w:rsidRPr="004E7897">
        <w:rPr>
          <w:rFonts w:ascii="Arial Narrow" w:hAnsi="Arial Narrow" w:cs="Arial"/>
          <w:b/>
          <w:sz w:val="24"/>
          <w:szCs w:val="24"/>
          <w:lang w:val="es-ES_tradnl"/>
        </w:rPr>
        <w:t>PROPOSICIÓN.</w:t>
      </w:r>
    </w:p>
    <w:p w:rsidR="003E1365" w:rsidRPr="004E7897" w:rsidRDefault="0082142B" w:rsidP="003E1365">
      <w:pPr>
        <w:jc w:val="both"/>
        <w:rPr>
          <w:rFonts w:ascii="Arial Narrow" w:eastAsia="Arial Unicode MS" w:hAnsi="Arial Narrow" w:cs="Arial"/>
          <w:sz w:val="24"/>
          <w:szCs w:val="24"/>
          <w:lang w:val="es-ES"/>
        </w:rPr>
      </w:pPr>
      <w:r w:rsidRPr="004E7897">
        <w:rPr>
          <w:rFonts w:ascii="Arial Narrow" w:eastAsia="Times New Roman" w:hAnsi="Arial Narrow" w:cs="Times New Roman"/>
          <w:spacing w:val="-5"/>
          <w:sz w:val="24"/>
          <w:szCs w:val="24"/>
          <w:lang w:val="es-ES_tradnl" w:eastAsia="es-CO"/>
        </w:rPr>
        <w:t>Por las anteriores consideraciones y haciendo uso de las facultades conferidas por el artículo 153 de la Ley 5ª de 1992, me permito rendir Ponencia Positiva</w:t>
      </w:r>
      <w:r w:rsidR="00D309AA" w:rsidRPr="004E7897">
        <w:rPr>
          <w:rFonts w:ascii="Arial Narrow" w:eastAsia="Times New Roman" w:hAnsi="Arial Narrow" w:cs="Times New Roman"/>
          <w:spacing w:val="-5"/>
          <w:sz w:val="24"/>
          <w:szCs w:val="24"/>
          <w:lang w:val="es-ES_tradnl" w:eastAsia="es-CO"/>
        </w:rPr>
        <w:t xml:space="preserve"> acogiéndome al texto </w:t>
      </w:r>
      <w:r w:rsidR="00723788" w:rsidRPr="004E7897">
        <w:rPr>
          <w:rFonts w:ascii="Arial Narrow" w:eastAsia="Times New Roman" w:hAnsi="Arial Narrow" w:cs="Times New Roman"/>
          <w:spacing w:val="-5"/>
          <w:sz w:val="24"/>
          <w:szCs w:val="24"/>
          <w:lang w:val="es-ES_tradnl" w:eastAsia="es-CO"/>
        </w:rPr>
        <w:t>definitivo aprobado</w:t>
      </w:r>
      <w:r w:rsidR="00D309AA" w:rsidRPr="004E7897">
        <w:rPr>
          <w:rFonts w:ascii="Arial Narrow" w:eastAsia="Times New Roman" w:hAnsi="Arial Narrow" w:cs="Times New Roman"/>
          <w:spacing w:val="-5"/>
          <w:sz w:val="24"/>
          <w:szCs w:val="24"/>
          <w:lang w:val="es-ES_tradnl" w:eastAsia="es-CO"/>
        </w:rPr>
        <w:t xml:space="preserve"> en plenaria </w:t>
      </w:r>
      <w:r w:rsidR="00723788">
        <w:rPr>
          <w:rFonts w:ascii="Arial Narrow" w:eastAsia="Times New Roman" w:hAnsi="Arial Narrow" w:cs="Times New Roman"/>
          <w:spacing w:val="-5"/>
          <w:sz w:val="24"/>
          <w:szCs w:val="24"/>
          <w:lang w:val="es-ES_tradnl" w:eastAsia="es-CO"/>
        </w:rPr>
        <w:t xml:space="preserve">del senado de la Republica </w:t>
      </w:r>
      <w:r w:rsidR="00D309AA" w:rsidRPr="004E7897">
        <w:rPr>
          <w:rFonts w:ascii="Arial Narrow" w:eastAsia="Times New Roman" w:hAnsi="Arial Narrow" w:cs="Times New Roman"/>
          <w:spacing w:val="-5"/>
          <w:sz w:val="24"/>
          <w:szCs w:val="24"/>
          <w:lang w:val="es-ES_tradnl" w:eastAsia="es-CO"/>
        </w:rPr>
        <w:t xml:space="preserve">sin </w:t>
      </w:r>
      <w:r w:rsidR="00723788" w:rsidRPr="004E7897">
        <w:rPr>
          <w:rFonts w:ascii="Arial Narrow" w:eastAsia="Times New Roman" w:hAnsi="Arial Narrow" w:cs="Times New Roman"/>
          <w:spacing w:val="-5"/>
          <w:sz w:val="24"/>
          <w:szCs w:val="24"/>
          <w:lang w:val="es-ES_tradnl" w:eastAsia="es-CO"/>
        </w:rPr>
        <w:t>modificaciones y</w:t>
      </w:r>
      <w:r w:rsidRPr="004E7897">
        <w:rPr>
          <w:rFonts w:ascii="Arial Narrow" w:eastAsia="Times New Roman" w:hAnsi="Arial Narrow" w:cs="Times New Roman"/>
          <w:spacing w:val="-5"/>
          <w:sz w:val="24"/>
          <w:szCs w:val="24"/>
          <w:lang w:val="es-ES_tradnl" w:eastAsia="es-CO"/>
        </w:rPr>
        <w:t xml:space="preserve"> solicitar </w:t>
      </w:r>
      <w:r w:rsidR="0004342D" w:rsidRPr="004E7897">
        <w:rPr>
          <w:rFonts w:ascii="Arial Narrow" w:eastAsia="Times New Roman" w:hAnsi="Arial Narrow" w:cs="Times New Roman"/>
          <w:spacing w:val="-5"/>
          <w:sz w:val="24"/>
          <w:szCs w:val="24"/>
          <w:lang w:val="es-ES_tradnl" w:eastAsia="es-CO"/>
        </w:rPr>
        <w:t xml:space="preserve">a la </w:t>
      </w:r>
      <w:r w:rsidR="0004342D" w:rsidRPr="004E7897">
        <w:rPr>
          <w:rFonts w:ascii="Arial Narrow" w:hAnsi="Arial Narrow" w:cs="Arial"/>
          <w:sz w:val="24"/>
          <w:szCs w:val="24"/>
          <w:lang w:val="es-ES_tradnl"/>
        </w:rPr>
        <w:t xml:space="preserve">Honorable Mesa Directiva de la Comisión </w:t>
      </w:r>
      <w:r w:rsidR="003E1365" w:rsidRPr="004E7897">
        <w:rPr>
          <w:rFonts w:ascii="Arial Narrow" w:hAnsi="Arial Narrow" w:cs="Arial"/>
          <w:sz w:val="24"/>
          <w:szCs w:val="24"/>
          <w:lang w:val="es-ES_tradnl"/>
        </w:rPr>
        <w:t>primera</w:t>
      </w:r>
      <w:r w:rsidR="00D309AA" w:rsidRPr="004E7897">
        <w:rPr>
          <w:rFonts w:ascii="Arial Narrow" w:hAnsi="Arial Narrow" w:cs="Arial"/>
          <w:sz w:val="24"/>
          <w:szCs w:val="24"/>
          <w:lang w:val="es-ES_tradnl"/>
        </w:rPr>
        <w:t xml:space="preserve"> de Cámara de </w:t>
      </w:r>
      <w:r w:rsidR="00723788" w:rsidRPr="004E7897">
        <w:rPr>
          <w:rFonts w:ascii="Arial Narrow" w:hAnsi="Arial Narrow" w:cs="Arial"/>
          <w:sz w:val="24"/>
          <w:szCs w:val="24"/>
          <w:lang w:val="es-ES_tradnl"/>
        </w:rPr>
        <w:t>Representantes dar</w:t>
      </w:r>
      <w:r w:rsidR="0004342D" w:rsidRPr="004E7897">
        <w:rPr>
          <w:rFonts w:ascii="Arial Narrow" w:hAnsi="Arial Narrow" w:cs="Arial"/>
          <w:sz w:val="24"/>
          <w:szCs w:val="24"/>
          <w:lang w:val="es-ES_tradnl"/>
        </w:rPr>
        <w:t xml:space="preserve"> </w:t>
      </w:r>
      <w:r w:rsidR="006B6864">
        <w:rPr>
          <w:rFonts w:ascii="Arial Narrow" w:hAnsi="Arial Narrow" w:cs="Arial"/>
          <w:sz w:val="24"/>
          <w:szCs w:val="24"/>
          <w:lang w:val="es-ES_tradnl"/>
        </w:rPr>
        <w:t>primer</w:t>
      </w:r>
      <w:r w:rsidR="00AA6230">
        <w:rPr>
          <w:rFonts w:ascii="Arial Narrow" w:hAnsi="Arial Narrow" w:cs="Arial"/>
          <w:sz w:val="24"/>
          <w:szCs w:val="24"/>
          <w:lang w:val="es-ES_tradnl"/>
        </w:rPr>
        <w:t xml:space="preserve"> </w:t>
      </w:r>
      <w:r w:rsidR="0004342D" w:rsidRPr="004E7897">
        <w:rPr>
          <w:rFonts w:ascii="Arial Narrow" w:hAnsi="Arial Narrow" w:cs="Arial"/>
          <w:sz w:val="24"/>
          <w:szCs w:val="24"/>
          <w:lang w:val="es-ES_tradnl"/>
        </w:rPr>
        <w:t xml:space="preserve">debate </w:t>
      </w:r>
      <w:r w:rsidR="00AA6230">
        <w:rPr>
          <w:rFonts w:ascii="Arial Narrow" w:hAnsi="Arial Narrow" w:cs="Arial"/>
          <w:sz w:val="24"/>
          <w:szCs w:val="24"/>
          <w:lang w:val="es-ES_tradnl"/>
        </w:rPr>
        <w:t xml:space="preserve">al </w:t>
      </w:r>
      <w:r w:rsidR="006530DF" w:rsidRPr="004E7897">
        <w:rPr>
          <w:rFonts w:ascii="Arial Narrow" w:eastAsia="Arial Unicode MS" w:hAnsi="Arial Narrow" w:cs="Arial"/>
          <w:b/>
          <w:sz w:val="24"/>
          <w:szCs w:val="24"/>
          <w:lang w:val="es-ES"/>
        </w:rPr>
        <w:t>PR</w:t>
      </w:r>
      <w:r w:rsidR="006530DF">
        <w:rPr>
          <w:rFonts w:ascii="Arial Narrow" w:eastAsia="Arial Unicode MS" w:hAnsi="Arial Narrow" w:cs="Arial"/>
          <w:b/>
          <w:sz w:val="24"/>
          <w:szCs w:val="24"/>
          <w:lang w:val="es-ES"/>
        </w:rPr>
        <w:t xml:space="preserve">OYECTO DE LEY 87 DE 2016 SENADO; </w:t>
      </w:r>
      <w:r w:rsidR="006530DF" w:rsidRPr="004C7761">
        <w:rPr>
          <w:rFonts w:ascii="Arial Narrow" w:eastAsia="Arial Unicode MS" w:hAnsi="Arial Narrow" w:cs="Arial"/>
          <w:b/>
          <w:sz w:val="24"/>
          <w:szCs w:val="24"/>
          <w:lang w:val="es-ES"/>
        </w:rPr>
        <w:t>325</w:t>
      </w:r>
      <w:r w:rsidR="006530DF">
        <w:rPr>
          <w:rFonts w:ascii="Arial Narrow" w:eastAsia="Arial Unicode MS" w:hAnsi="Arial Narrow" w:cs="Arial"/>
          <w:b/>
          <w:sz w:val="24"/>
          <w:szCs w:val="24"/>
          <w:lang w:val="es-ES"/>
        </w:rPr>
        <w:t xml:space="preserve"> DE </w:t>
      </w:r>
      <w:r w:rsidR="006530DF" w:rsidRPr="004C7761">
        <w:rPr>
          <w:rFonts w:ascii="Arial Narrow" w:eastAsia="Arial Unicode MS" w:hAnsi="Arial Narrow" w:cs="Arial"/>
          <w:b/>
          <w:sz w:val="24"/>
          <w:szCs w:val="24"/>
          <w:lang w:val="es-ES"/>
        </w:rPr>
        <w:t>2017</w:t>
      </w:r>
      <w:r w:rsidR="006530DF">
        <w:rPr>
          <w:rFonts w:ascii="Arial Narrow" w:eastAsia="Arial Unicode MS" w:hAnsi="Arial Narrow" w:cs="Arial"/>
          <w:b/>
          <w:sz w:val="24"/>
          <w:szCs w:val="24"/>
          <w:lang w:val="es-ES"/>
        </w:rPr>
        <w:t xml:space="preserve"> </w:t>
      </w:r>
      <w:r w:rsidR="006530DF" w:rsidRPr="00DB6D4C">
        <w:rPr>
          <w:rFonts w:ascii="Arial Narrow" w:eastAsia="Arial Unicode MS" w:hAnsi="Arial Narrow" w:cs="Arial"/>
          <w:b/>
          <w:sz w:val="24"/>
          <w:szCs w:val="24"/>
          <w:lang w:val="es-ES"/>
        </w:rPr>
        <w:t>C</w:t>
      </w:r>
      <w:r w:rsidR="006530DF" w:rsidRPr="00DB6D4C">
        <w:rPr>
          <w:rFonts w:ascii="Arial Narrow" w:hAnsi="Arial Narrow"/>
          <w:b/>
          <w:sz w:val="24"/>
          <w:szCs w:val="24"/>
        </w:rPr>
        <w:t>AMARA</w:t>
      </w:r>
      <w:r w:rsidR="006530DF">
        <w:rPr>
          <w:rFonts w:ascii="Arial Narrow" w:hAnsi="Arial Narrow"/>
          <w:sz w:val="24"/>
          <w:szCs w:val="24"/>
        </w:rPr>
        <w:t xml:space="preserve"> </w:t>
      </w:r>
      <w:r w:rsidR="00723788">
        <w:rPr>
          <w:rFonts w:ascii="Arial Narrow" w:hAnsi="Arial Narrow"/>
          <w:sz w:val="24"/>
          <w:szCs w:val="24"/>
        </w:rPr>
        <w:t>“</w:t>
      </w:r>
      <w:r w:rsidR="003E1365" w:rsidRPr="004E7897">
        <w:rPr>
          <w:rFonts w:ascii="Arial Narrow" w:eastAsia="Arial Unicode MS" w:hAnsi="Arial Narrow" w:cs="Arial"/>
          <w:sz w:val="24"/>
          <w:szCs w:val="24"/>
          <w:lang w:val="es-ES"/>
        </w:rPr>
        <w:t xml:space="preserve">Por medio de la cual se establece el régimen de inhabilidades a quienes hayan sido condenados por delitos sexuales cometidos contra menores, se crea el registro de inhabilidades </w:t>
      </w:r>
      <w:r w:rsidR="00723788">
        <w:rPr>
          <w:rFonts w:ascii="Arial Narrow" w:eastAsia="Arial Unicode MS" w:hAnsi="Arial Narrow" w:cs="Arial"/>
          <w:sz w:val="24"/>
          <w:szCs w:val="24"/>
          <w:lang w:val="es-ES"/>
        </w:rPr>
        <w:t xml:space="preserve">y se dictan otras disposiciones” </w:t>
      </w:r>
    </w:p>
    <w:p w:rsidR="0082142B" w:rsidRPr="004E7897" w:rsidRDefault="0082142B" w:rsidP="0004342D">
      <w:pPr>
        <w:spacing w:before="28" w:after="28" w:line="288" w:lineRule="atLeast"/>
        <w:ind w:firstLine="283"/>
        <w:jc w:val="both"/>
        <w:textAlignment w:val="center"/>
        <w:rPr>
          <w:rFonts w:ascii="Arial Narrow" w:eastAsia="Times New Roman" w:hAnsi="Arial Narrow" w:cs="Times New Roman"/>
          <w:sz w:val="24"/>
          <w:szCs w:val="24"/>
          <w:lang w:eastAsia="es-CO"/>
        </w:rPr>
      </w:pPr>
    </w:p>
    <w:p w:rsidR="00852B02" w:rsidRPr="004E7897" w:rsidRDefault="00852B02" w:rsidP="00453D96">
      <w:pPr>
        <w:spacing w:before="28" w:after="28" w:line="240" w:lineRule="auto"/>
        <w:jc w:val="both"/>
        <w:textAlignment w:val="center"/>
        <w:rPr>
          <w:rFonts w:ascii="Arial Narrow" w:eastAsia="Times New Roman" w:hAnsi="Arial Narrow" w:cs="Arial"/>
          <w:sz w:val="24"/>
          <w:szCs w:val="24"/>
          <w:lang w:eastAsia="es-CO"/>
        </w:rPr>
      </w:pPr>
    </w:p>
    <w:p w:rsidR="00723788" w:rsidRDefault="00723788" w:rsidP="00453D96">
      <w:pPr>
        <w:spacing w:before="28" w:after="28" w:line="240" w:lineRule="auto"/>
        <w:jc w:val="both"/>
        <w:textAlignment w:val="center"/>
        <w:rPr>
          <w:rFonts w:ascii="Arial Narrow" w:eastAsia="Times New Roman" w:hAnsi="Arial Narrow" w:cs="Arial"/>
          <w:sz w:val="24"/>
          <w:szCs w:val="24"/>
          <w:lang w:val="es-ES_tradnl" w:eastAsia="es-CO"/>
        </w:rPr>
      </w:pPr>
      <w:r>
        <w:rPr>
          <w:rFonts w:ascii="Arial Narrow" w:eastAsia="Times New Roman" w:hAnsi="Arial Narrow" w:cs="Arial"/>
          <w:sz w:val="24"/>
          <w:szCs w:val="24"/>
          <w:lang w:val="es-ES_tradnl" w:eastAsia="es-CO"/>
        </w:rPr>
        <w:t xml:space="preserve">Cordialmente, </w:t>
      </w:r>
    </w:p>
    <w:p w:rsidR="00723788" w:rsidRDefault="00723788" w:rsidP="00453D96">
      <w:pPr>
        <w:spacing w:before="28" w:after="28" w:line="240" w:lineRule="auto"/>
        <w:jc w:val="both"/>
        <w:textAlignment w:val="center"/>
        <w:rPr>
          <w:rFonts w:ascii="Arial Narrow" w:eastAsia="Times New Roman" w:hAnsi="Arial Narrow" w:cs="Arial"/>
          <w:sz w:val="24"/>
          <w:szCs w:val="24"/>
          <w:lang w:val="es-ES_tradnl" w:eastAsia="es-CO"/>
        </w:rPr>
      </w:pPr>
    </w:p>
    <w:p w:rsidR="004E7897" w:rsidRDefault="004E7897" w:rsidP="00453D96">
      <w:pPr>
        <w:spacing w:before="28" w:after="28" w:line="240" w:lineRule="auto"/>
        <w:jc w:val="both"/>
        <w:textAlignment w:val="center"/>
        <w:rPr>
          <w:rFonts w:ascii="Arial Narrow" w:eastAsia="Times New Roman" w:hAnsi="Arial Narrow" w:cs="Arial"/>
          <w:sz w:val="24"/>
          <w:szCs w:val="24"/>
          <w:lang w:val="es-ES_tradnl" w:eastAsia="es-CO"/>
        </w:rPr>
      </w:pPr>
    </w:p>
    <w:p w:rsidR="00723788" w:rsidRDefault="00723788" w:rsidP="00453D96">
      <w:pPr>
        <w:spacing w:before="28" w:after="28" w:line="240" w:lineRule="auto"/>
        <w:jc w:val="both"/>
        <w:textAlignment w:val="center"/>
        <w:rPr>
          <w:rFonts w:ascii="Arial Narrow" w:eastAsia="Times New Roman" w:hAnsi="Arial Narrow" w:cs="Arial"/>
          <w:sz w:val="24"/>
          <w:szCs w:val="24"/>
          <w:lang w:val="es-ES_tradnl" w:eastAsia="es-CO"/>
        </w:rPr>
      </w:pPr>
    </w:p>
    <w:p w:rsidR="00723788" w:rsidRPr="00723788" w:rsidRDefault="00723788" w:rsidP="00453D96">
      <w:pPr>
        <w:spacing w:before="28" w:after="28" w:line="240" w:lineRule="auto"/>
        <w:jc w:val="both"/>
        <w:textAlignment w:val="center"/>
        <w:rPr>
          <w:rFonts w:ascii="Arial Narrow" w:eastAsia="Times New Roman" w:hAnsi="Arial Narrow" w:cs="Arial"/>
          <w:b/>
          <w:sz w:val="24"/>
          <w:szCs w:val="24"/>
          <w:lang w:val="es-ES_tradnl" w:eastAsia="es-CO"/>
        </w:rPr>
      </w:pPr>
      <w:r w:rsidRPr="00723788">
        <w:rPr>
          <w:rFonts w:ascii="Arial Narrow" w:eastAsia="Times New Roman" w:hAnsi="Arial Narrow" w:cs="Arial"/>
          <w:b/>
          <w:sz w:val="24"/>
          <w:szCs w:val="24"/>
          <w:lang w:val="es-ES_tradnl" w:eastAsia="es-CO"/>
        </w:rPr>
        <w:t>JUAN CARLOS GARCÍA GÓMEZ</w:t>
      </w:r>
    </w:p>
    <w:p w:rsidR="00723788" w:rsidRDefault="00723788" w:rsidP="00453D96">
      <w:pPr>
        <w:spacing w:before="28" w:after="28" w:line="240" w:lineRule="auto"/>
        <w:jc w:val="both"/>
        <w:textAlignment w:val="center"/>
        <w:rPr>
          <w:rFonts w:ascii="Arial Narrow" w:eastAsia="Times New Roman" w:hAnsi="Arial Narrow" w:cs="Arial"/>
          <w:sz w:val="24"/>
          <w:szCs w:val="24"/>
          <w:lang w:val="es-ES_tradnl" w:eastAsia="es-CO"/>
        </w:rPr>
      </w:pPr>
      <w:r>
        <w:rPr>
          <w:rFonts w:ascii="Arial Narrow" w:eastAsia="Times New Roman" w:hAnsi="Arial Narrow" w:cs="Arial"/>
          <w:sz w:val="24"/>
          <w:szCs w:val="24"/>
          <w:lang w:val="es-ES_tradnl" w:eastAsia="es-CO"/>
        </w:rPr>
        <w:t xml:space="preserve">Representante a la Cámara </w:t>
      </w:r>
    </w:p>
    <w:p w:rsidR="006A6CD2" w:rsidRDefault="006A6CD2" w:rsidP="00453D96">
      <w:pPr>
        <w:spacing w:before="28" w:after="28" w:line="240" w:lineRule="auto"/>
        <w:jc w:val="both"/>
        <w:textAlignment w:val="center"/>
        <w:rPr>
          <w:rFonts w:ascii="Arial Narrow" w:eastAsia="Times New Roman" w:hAnsi="Arial Narrow" w:cs="Arial"/>
          <w:sz w:val="24"/>
          <w:szCs w:val="24"/>
          <w:lang w:val="es-ES_tradnl" w:eastAsia="es-CO"/>
        </w:rPr>
      </w:pPr>
      <w:r>
        <w:rPr>
          <w:rFonts w:ascii="Arial Narrow" w:eastAsia="Times New Roman" w:hAnsi="Arial Narrow" w:cs="Arial"/>
          <w:sz w:val="24"/>
          <w:szCs w:val="24"/>
          <w:lang w:val="es-ES_tradnl" w:eastAsia="es-CO"/>
        </w:rPr>
        <w:t>Departamento Norte de Santander</w:t>
      </w:r>
    </w:p>
    <w:p w:rsidR="006A6CD2" w:rsidRPr="006A6CD2" w:rsidRDefault="006A6CD2" w:rsidP="00453D96">
      <w:pPr>
        <w:spacing w:before="28" w:after="28" w:line="240" w:lineRule="auto"/>
        <w:jc w:val="both"/>
        <w:textAlignment w:val="center"/>
        <w:rPr>
          <w:rFonts w:ascii="Arial Narrow" w:eastAsia="Times New Roman" w:hAnsi="Arial Narrow" w:cs="Arial"/>
          <w:b/>
          <w:sz w:val="24"/>
          <w:szCs w:val="24"/>
          <w:lang w:val="es-ES_tradnl" w:eastAsia="es-CO"/>
        </w:rPr>
      </w:pPr>
      <w:r w:rsidRPr="006A6CD2">
        <w:rPr>
          <w:rFonts w:ascii="Arial Narrow" w:eastAsia="Times New Roman" w:hAnsi="Arial Narrow" w:cs="Arial"/>
          <w:b/>
          <w:sz w:val="24"/>
          <w:szCs w:val="24"/>
          <w:lang w:val="es-ES_tradnl" w:eastAsia="es-CO"/>
        </w:rPr>
        <w:t>Ponente</w:t>
      </w:r>
    </w:p>
    <w:p w:rsidR="004E7897" w:rsidRDefault="004E7897" w:rsidP="00453D96">
      <w:pPr>
        <w:spacing w:before="28" w:after="28" w:line="240" w:lineRule="auto"/>
        <w:jc w:val="both"/>
        <w:textAlignment w:val="center"/>
        <w:rPr>
          <w:rFonts w:ascii="Arial Narrow" w:eastAsia="Times New Roman" w:hAnsi="Arial Narrow" w:cs="Arial"/>
          <w:sz w:val="24"/>
          <w:szCs w:val="24"/>
          <w:lang w:val="es-ES_tradnl" w:eastAsia="es-CO"/>
        </w:rPr>
      </w:pPr>
    </w:p>
    <w:p w:rsidR="004E7897" w:rsidRDefault="004E7897" w:rsidP="00453D96">
      <w:pPr>
        <w:spacing w:before="28" w:after="28" w:line="240" w:lineRule="auto"/>
        <w:jc w:val="both"/>
        <w:textAlignment w:val="center"/>
        <w:rPr>
          <w:rFonts w:ascii="Arial Narrow" w:eastAsia="Times New Roman" w:hAnsi="Arial Narrow" w:cs="Arial"/>
          <w:sz w:val="24"/>
          <w:szCs w:val="24"/>
          <w:lang w:val="es-ES_tradnl" w:eastAsia="es-CO"/>
        </w:rPr>
      </w:pPr>
    </w:p>
    <w:p w:rsidR="004E7897" w:rsidRDefault="004E7897" w:rsidP="00453D96">
      <w:pPr>
        <w:spacing w:before="28" w:after="28" w:line="240" w:lineRule="auto"/>
        <w:jc w:val="both"/>
        <w:textAlignment w:val="center"/>
        <w:rPr>
          <w:rFonts w:ascii="Arial Narrow" w:eastAsia="Times New Roman" w:hAnsi="Arial Narrow" w:cs="Arial"/>
          <w:sz w:val="24"/>
          <w:szCs w:val="24"/>
          <w:lang w:val="es-ES_tradnl" w:eastAsia="es-CO"/>
        </w:rPr>
      </w:pPr>
    </w:p>
    <w:p w:rsidR="004E7897" w:rsidRDefault="004E7897" w:rsidP="00453D96">
      <w:pPr>
        <w:spacing w:before="28" w:after="28" w:line="240" w:lineRule="auto"/>
        <w:jc w:val="both"/>
        <w:textAlignment w:val="center"/>
        <w:rPr>
          <w:rFonts w:ascii="Arial Narrow" w:eastAsia="Times New Roman" w:hAnsi="Arial Narrow" w:cs="Arial"/>
          <w:sz w:val="24"/>
          <w:szCs w:val="24"/>
          <w:lang w:val="es-ES_tradnl" w:eastAsia="es-CO"/>
        </w:rPr>
      </w:pPr>
    </w:p>
    <w:p w:rsidR="004E7897" w:rsidRDefault="004E7897" w:rsidP="00453D96">
      <w:pPr>
        <w:spacing w:before="28" w:after="28" w:line="240" w:lineRule="auto"/>
        <w:jc w:val="both"/>
        <w:textAlignment w:val="center"/>
        <w:rPr>
          <w:rFonts w:ascii="Arial Narrow" w:eastAsia="Times New Roman" w:hAnsi="Arial Narrow" w:cs="Arial"/>
          <w:sz w:val="24"/>
          <w:szCs w:val="24"/>
          <w:lang w:val="es-ES_tradnl" w:eastAsia="es-CO"/>
        </w:rPr>
      </w:pPr>
    </w:p>
    <w:p w:rsidR="004E7897" w:rsidRDefault="004E7897" w:rsidP="00453D96">
      <w:pPr>
        <w:spacing w:before="28" w:after="28" w:line="240" w:lineRule="auto"/>
        <w:jc w:val="both"/>
        <w:textAlignment w:val="center"/>
        <w:rPr>
          <w:rFonts w:ascii="Arial Narrow" w:eastAsia="Times New Roman" w:hAnsi="Arial Narrow" w:cs="Arial"/>
          <w:sz w:val="24"/>
          <w:szCs w:val="24"/>
          <w:lang w:val="es-ES_tradnl" w:eastAsia="es-CO"/>
        </w:rPr>
      </w:pPr>
    </w:p>
    <w:p w:rsidR="006A6CD2" w:rsidRDefault="006A6CD2" w:rsidP="00453D96">
      <w:pPr>
        <w:spacing w:before="28" w:after="28" w:line="240" w:lineRule="auto"/>
        <w:jc w:val="both"/>
        <w:textAlignment w:val="center"/>
        <w:rPr>
          <w:rFonts w:ascii="Arial Narrow" w:eastAsia="Times New Roman" w:hAnsi="Arial Narrow" w:cs="Arial"/>
          <w:sz w:val="24"/>
          <w:szCs w:val="24"/>
          <w:lang w:val="es-ES_tradnl" w:eastAsia="es-CO"/>
        </w:rPr>
      </w:pPr>
    </w:p>
    <w:p w:rsidR="006A6CD2" w:rsidRDefault="006A6CD2" w:rsidP="00453D96">
      <w:pPr>
        <w:spacing w:before="28" w:after="28" w:line="240" w:lineRule="auto"/>
        <w:jc w:val="both"/>
        <w:textAlignment w:val="center"/>
        <w:rPr>
          <w:rFonts w:ascii="Arial Narrow" w:eastAsia="Times New Roman" w:hAnsi="Arial Narrow" w:cs="Arial"/>
          <w:sz w:val="24"/>
          <w:szCs w:val="24"/>
          <w:lang w:val="es-ES_tradnl" w:eastAsia="es-CO"/>
        </w:rPr>
      </w:pPr>
    </w:p>
    <w:p w:rsidR="006A6CD2" w:rsidRDefault="006A6CD2" w:rsidP="00453D96">
      <w:pPr>
        <w:spacing w:before="28" w:after="28" w:line="240" w:lineRule="auto"/>
        <w:jc w:val="both"/>
        <w:textAlignment w:val="center"/>
        <w:rPr>
          <w:rFonts w:ascii="Arial Narrow" w:eastAsia="Times New Roman" w:hAnsi="Arial Narrow" w:cs="Arial"/>
          <w:sz w:val="24"/>
          <w:szCs w:val="24"/>
          <w:lang w:val="es-ES_tradnl" w:eastAsia="es-CO"/>
        </w:rPr>
      </w:pPr>
    </w:p>
    <w:p w:rsidR="006A6CD2" w:rsidRDefault="006A6CD2" w:rsidP="00453D96">
      <w:pPr>
        <w:spacing w:before="28" w:after="28" w:line="240" w:lineRule="auto"/>
        <w:jc w:val="both"/>
        <w:textAlignment w:val="center"/>
        <w:rPr>
          <w:rFonts w:ascii="Arial Narrow" w:eastAsia="Times New Roman" w:hAnsi="Arial Narrow" w:cs="Arial"/>
          <w:sz w:val="24"/>
          <w:szCs w:val="24"/>
          <w:lang w:val="es-ES_tradnl" w:eastAsia="es-CO"/>
        </w:rPr>
      </w:pPr>
    </w:p>
    <w:p w:rsidR="006A6CD2" w:rsidRDefault="006A6CD2" w:rsidP="00453D96">
      <w:pPr>
        <w:spacing w:before="28" w:after="28" w:line="240" w:lineRule="auto"/>
        <w:jc w:val="both"/>
        <w:textAlignment w:val="center"/>
        <w:rPr>
          <w:rFonts w:ascii="Arial Narrow" w:eastAsia="Times New Roman" w:hAnsi="Arial Narrow" w:cs="Arial"/>
          <w:sz w:val="24"/>
          <w:szCs w:val="24"/>
          <w:lang w:val="es-ES_tradnl" w:eastAsia="es-CO"/>
        </w:rPr>
      </w:pPr>
    </w:p>
    <w:p w:rsidR="006A6CD2" w:rsidRDefault="006A6CD2" w:rsidP="00453D96">
      <w:pPr>
        <w:spacing w:before="28" w:after="28" w:line="240" w:lineRule="auto"/>
        <w:jc w:val="both"/>
        <w:textAlignment w:val="center"/>
        <w:rPr>
          <w:rFonts w:ascii="Arial Narrow" w:eastAsia="Times New Roman" w:hAnsi="Arial Narrow" w:cs="Arial"/>
          <w:sz w:val="24"/>
          <w:szCs w:val="24"/>
          <w:lang w:val="es-ES_tradnl" w:eastAsia="es-CO"/>
        </w:rPr>
      </w:pPr>
    </w:p>
    <w:p w:rsidR="006A6CD2" w:rsidRDefault="006A6CD2" w:rsidP="00453D96">
      <w:pPr>
        <w:spacing w:before="28" w:after="28" w:line="240" w:lineRule="auto"/>
        <w:jc w:val="both"/>
        <w:textAlignment w:val="center"/>
        <w:rPr>
          <w:rFonts w:ascii="Arial Narrow" w:eastAsia="Times New Roman" w:hAnsi="Arial Narrow" w:cs="Arial"/>
          <w:sz w:val="24"/>
          <w:szCs w:val="24"/>
          <w:lang w:val="es-ES_tradnl" w:eastAsia="es-CO"/>
        </w:rPr>
      </w:pPr>
    </w:p>
    <w:p w:rsidR="006A6CD2" w:rsidRDefault="006A6CD2" w:rsidP="00453D96">
      <w:pPr>
        <w:spacing w:before="28" w:after="28" w:line="240" w:lineRule="auto"/>
        <w:jc w:val="both"/>
        <w:textAlignment w:val="center"/>
        <w:rPr>
          <w:rFonts w:ascii="Arial Narrow" w:eastAsia="Times New Roman" w:hAnsi="Arial Narrow" w:cs="Arial"/>
          <w:sz w:val="24"/>
          <w:szCs w:val="24"/>
          <w:lang w:val="es-ES_tradnl" w:eastAsia="es-CO"/>
        </w:rPr>
      </w:pPr>
    </w:p>
    <w:p w:rsidR="0004342D" w:rsidRPr="004E7897" w:rsidRDefault="0004342D" w:rsidP="00D309AA">
      <w:pPr>
        <w:ind w:left="708" w:hanging="708"/>
        <w:jc w:val="center"/>
        <w:rPr>
          <w:rFonts w:ascii="Arial Narrow" w:eastAsia="Calibri" w:hAnsi="Arial Narrow" w:cs="Arial"/>
          <w:b/>
          <w:sz w:val="24"/>
          <w:szCs w:val="24"/>
          <w:lang w:val="es-ES_tradnl"/>
        </w:rPr>
      </w:pPr>
      <w:r w:rsidRPr="004E7897">
        <w:rPr>
          <w:rFonts w:ascii="Arial Narrow" w:eastAsia="Calibri" w:hAnsi="Arial Narrow" w:cs="Arial"/>
          <w:b/>
          <w:sz w:val="24"/>
          <w:szCs w:val="24"/>
          <w:lang w:val="es-ES_tradnl"/>
        </w:rPr>
        <w:lastRenderedPageBreak/>
        <w:t>TEXTO PROPUESTO PARA</w:t>
      </w:r>
      <w:r w:rsidR="00D309AA" w:rsidRPr="004E7897">
        <w:rPr>
          <w:rFonts w:ascii="Arial Narrow" w:eastAsia="Calibri" w:hAnsi="Arial Narrow" w:cs="Arial"/>
          <w:b/>
          <w:sz w:val="24"/>
          <w:szCs w:val="24"/>
          <w:lang w:val="es-ES_tradnl"/>
        </w:rPr>
        <w:t xml:space="preserve"> </w:t>
      </w:r>
      <w:r w:rsidR="00223882">
        <w:rPr>
          <w:rFonts w:ascii="Arial Narrow" w:eastAsia="Calibri" w:hAnsi="Arial Narrow" w:cs="Arial"/>
          <w:b/>
          <w:sz w:val="24"/>
          <w:szCs w:val="24"/>
          <w:lang w:val="es-ES_tradnl"/>
        </w:rPr>
        <w:t>PRIMER</w:t>
      </w:r>
      <w:r w:rsidRPr="004E7897">
        <w:rPr>
          <w:rFonts w:ascii="Arial Narrow" w:eastAsia="Calibri" w:hAnsi="Arial Narrow" w:cs="Arial"/>
          <w:b/>
          <w:sz w:val="24"/>
          <w:szCs w:val="24"/>
          <w:lang w:val="es-ES_tradnl"/>
        </w:rPr>
        <w:t xml:space="preserve"> DEBATE </w:t>
      </w:r>
      <w:r w:rsidR="006A6CD2">
        <w:rPr>
          <w:rFonts w:ascii="Arial Narrow" w:eastAsia="Calibri" w:hAnsi="Arial Narrow" w:cs="Arial"/>
          <w:b/>
          <w:sz w:val="24"/>
          <w:szCs w:val="24"/>
          <w:lang w:val="es-ES_tradnl"/>
        </w:rPr>
        <w:t>EN LA COMISION PRIMERA DE LA CAMARA DE REPRESENTANTES</w:t>
      </w:r>
    </w:p>
    <w:p w:rsidR="00CA4EDC" w:rsidRPr="004E7897" w:rsidRDefault="00CA4EDC" w:rsidP="003E1365">
      <w:pPr>
        <w:jc w:val="center"/>
        <w:rPr>
          <w:rFonts w:ascii="Arial Narrow" w:eastAsia="Arial Unicode MS" w:hAnsi="Arial Narrow" w:cs="Arial"/>
          <w:b/>
          <w:sz w:val="24"/>
          <w:szCs w:val="24"/>
          <w:lang w:val="es-ES"/>
        </w:rPr>
      </w:pPr>
    </w:p>
    <w:p w:rsidR="003E1365" w:rsidRPr="00305C5F" w:rsidRDefault="008117A9" w:rsidP="003E1365">
      <w:pPr>
        <w:jc w:val="center"/>
        <w:rPr>
          <w:rFonts w:ascii="Arial Narrow" w:eastAsia="Arial Unicode MS" w:hAnsi="Arial Narrow" w:cs="Arial"/>
          <w:b/>
          <w:sz w:val="24"/>
          <w:szCs w:val="24"/>
          <w:lang w:val="es-ES"/>
        </w:rPr>
      </w:pPr>
      <w:r w:rsidRPr="00305C5F">
        <w:rPr>
          <w:rFonts w:ascii="Arial Narrow" w:eastAsia="Arial Unicode MS" w:hAnsi="Arial Narrow" w:cs="Arial"/>
          <w:b/>
          <w:sz w:val="24"/>
          <w:szCs w:val="24"/>
          <w:lang w:val="es-ES"/>
        </w:rPr>
        <w:t>PROYECTO DE LEY 87 DE 2016 SENADO; 325 DE 2017 C</w:t>
      </w:r>
      <w:r w:rsidRPr="00305C5F">
        <w:rPr>
          <w:rFonts w:ascii="Arial Narrow" w:hAnsi="Arial Narrow"/>
          <w:b/>
          <w:sz w:val="24"/>
          <w:szCs w:val="24"/>
        </w:rPr>
        <w:t>AMARA “</w:t>
      </w:r>
      <w:r w:rsidRPr="00305C5F">
        <w:rPr>
          <w:rFonts w:ascii="Arial Narrow" w:eastAsia="Arial Unicode MS" w:hAnsi="Arial Narrow" w:cs="Arial"/>
          <w:b/>
          <w:sz w:val="24"/>
          <w:szCs w:val="24"/>
          <w:lang w:val="es-ES"/>
        </w:rPr>
        <w:t xml:space="preserve">POR MEDIO DE LA CUAL SE ESTABLECE EL RÉGIMEN DE INHABILIDADES A QUIENES HAYAN SIDO CONDENADOS POR DELITOS SEXUALES COMETIDOS CONTRA MENORES, SE CREA EL REGISTRO DE INHABILIDADES Y SE DICTAN OTRAS DISPOSICIONES” </w:t>
      </w:r>
    </w:p>
    <w:p w:rsidR="00953C04" w:rsidRPr="00305C5F" w:rsidRDefault="00953C04" w:rsidP="0004342D">
      <w:pPr>
        <w:tabs>
          <w:tab w:val="left" w:pos="2860"/>
          <w:tab w:val="left" w:pos="3720"/>
        </w:tabs>
        <w:spacing w:after="200" w:line="240" w:lineRule="auto"/>
        <w:jc w:val="both"/>
        <w:rPr>
          <w:rFonts w:ascii="Arial Narrow" w:hAnsi="Arial Narrow" w:cs="Arial"/>
          <w:b/>
          <w:sz w:val="24"/>
          <w:szCs w:val="24"/>
          <w:lang w:val="es-ES_tradnl"/>
        </w:rPr>
      </w:pPr>
    </w:p>
    <w:p w:rsidR="00E51887" w:rsidRPr="004E7897" w:rsidRDefault="00E51887" w:rsidP="00453D96">
      <w:pPr>
        <w:tabs>
          <w:tab w:val="left" w:pos="2860"/>
        </w:tabs>
        <w:spacing w:line="240" w:lineRule="auto"/>
        <w:jc w:val="center"/>
        <w:rPr>
          <w:rFonts w:ascii="Arial Narrow" w:hAnsi="Arial Narrow" w:cs="Arial"/>
          <w:b/>
          <w:sz w:val="24"/>
          <w:szCs w:val="24"/>
          <w:lang w:val="es-ES_tradnl"/>
        </w:rPr>
      </w:pPr>
      <w:r w:rsidRPr="004E7897">
        <w:rPr>
          <w:rFonts w:ascii="Arial Narrow" w:hAnsi="Arial Narrow" w:cs="Arial"/>
          <w:b/>
          <w:sz w:val="24"/>
          <w:szCs w:val="24"/>
          <w:lang w:val="es-ES_tradnl"/>
        </w:rPr>
        <w:t>EL CONGRESO DE COLOMBIA,</w:t>
      </w:r>
    </w:p>
    <w:p w:rsidR="00E51887" w:rsidRPr="004E7897" w:rsidRDefault="00E51887" w:rsidP="00453D96">
      <w:pPr>
        <w:tabs>
          <w:tab w:val="left" w:pos="2860"/>
        </w:tabs>
        <w:spacing w:line="240" w:lineRule="auto"/>
        <w:jc w:val="center"/>
        <w:rPr>
          <w:rFonts w:ascii="Arial Narrow" w:hAnsi="Arial Narrow" w:cs="Arial"/>
          <w:b/>
          <w:sz w:val="24"/>
          <w:szCs w:val="24"/>
          <w:lang w:val="es-ES_tradnl"/>
        </w:rPr>
      </w:pPr>
      <w:r w:rsidRPr="004E7897">
        <w:rPr>
          <w:rFonts w:ascii="Arial Narrow" w:hAnsi="Arial Narrow" w:cs="Arial"/>
          <w:b/>
          <w:sz w:val="24"/>
          <w:szCs w:val="24"/>
          <w:lang w:val="es-ES_tradnl"/>
        </w:rPr>
        <w:t>DECRETA:</w:t>
      </w:r>
    </w:p>
    <w:p w:rsidR="000150F7" w:rsidRPr="004E7897" w:rsidRDefault="000150F7" w:rsidP="00453D96">
      <w:pPr>
        <w:spacing w:after="0" w:line="240" w:lineRule="auto"/>
        <w:jc w:val="center"/>
        <w:rPr>
          <w:rFonts w:ascii="Arial Narrow" w:eastAsia="Times New Roman" w:hAnsi="Arial Narrow" w:cs="Arial"/>
          <w:b/>
          <w:sz w:val="24"/>
          <w:szCs w:val="24"/>
          <w:lang w:val="es-ES" w:eastAsia="es-ES"/>
        </w:rPr>
      </w:pPr>
      <w:r w:rsidRPr="004E7897">
        <w:rPr>
          <w:rFonts w:ascii="Arial Narrow" w:eastAsia="Times New Roman" w:hAnsi="Arial Narrow" w:cs="Arial"/>
          <w:b/>
          <w:sz w:val="24"/>
          <w:szCs w:val="24"/>
          <w:lang w:val="es-ES" w:eastAsia="es-ES"/>
        </w:rPr>
        <w:t xml:space="preserve">El Congreso de la República de Colombia </w:t>
      </w:r>
    </w:p>
    <w:p w:rsidR="000150F7" w:rsidRPr="004E7897" w:rsidRDefault="000150F7" w:rsidP="00453D96">
      <w:pPr>
        <w:spacing w:after="0" w:line="240" w:lineRule="auto"/>
        <w:jc w:val="center"/>
        <w:rPr>
          <w:rFonts w:ascii="Arial Narrow" w:eastAsia="Times New Roman" w:hAnsi="Arial Narrow" w:cs="Arial"/>
          <w:b/>
          <w:sz w:val="24"/>
          <w:szCs w:val="24"/>
          <w:lang w:val="es-ES" w:eastAsia="es-ES"/>
        </w:rPr>
      </w:pPr>
      <w:r w:rsidRPr="004E7897">
        <w:rPr>
          <w:rFonts w:ascii="Arial Narrow" w:eastAsia="Times New Roman" w:hAnsi="Arial Narrow" w:cs="Arial"/>
          <w:b/>
          <w:sz w:val="24"/>
          <w:szCs w:val="24"/>
          <w:lang w:val="es-ES" w:eastAsia="es-ES"/>
        </w:rPr>
        <w:t>DECRETA:</w:t>
      </w:r>
    </w:p>
    <w:p w:rsidR="000150F7" w:rsidRPr="004E7897" w:rsidRDefault="000150F7" w:rsidP="00453D96">
      <w:pPr>
        <w:spacing w:after="0" w:line="240" w:lineRule="auto"/>
        <w:jc w:val="center"/>
        <w:rPr>
          <w:rFonts w:ascii="Arial Narrow" w:eastAsia="Times New Roman" w:hAnsi="Arial Narrow" w:cs="Arial"/>
          <w:b/>
          <w:sz w:val="24"/>
          <w:szCs w:val="24"/>
          <w:lang w:val="es-ES" w:eastAsia="es-ES"/>
        </w:rPr>
      </w:pPr>
    </w:p>
    <w:p w:rsidR="000150F7" w:rsidRPr="004E7897" w:rsidRDefault="000150F7" w:rsidP="00453D96">
      <w:pPr>
        <w:spacing w:after="0" w:line="240" w:lineRule="auto"/>
        <w:jc w:val="center"/>
        <w:rPr>
          <w:rFonts w:ascii="Arial Narrow" w:eastAsia="Times New Roman" w:hAnsi="Arial Narrow" w:cs="Arial"/>
          <w:b/>
          <w:sz w:val="24"/>
          <w:szCs w:val="24"/>
          <w:lang w:val="es-ES" w:eastAsia="es-ES"/>
        </w:rPr>
      </w:pPr>
    </w:p>
    <w:p w:rsidR="000150F7" w:rsidRPr="004E7897" w:rsidRDefault="000150F7" w:rsidP="00453D96">
      <w:pPr>
        <w:spacing w:after="0" w:line="240" w:lineRule="auto"/>
        <w:jc w:val="center"/>
        <w:rPr>
          <w:rFonts w:ascii="Arial Narrow" w:eastAsia="Times New Roman" w:hAnsi="Arial Narrow" w:cs="Arial"/>
          <w:b/>
          <w:sz w:val="24"/>
          <w:szCs w:val="24"/>
          <w:lang w:val="es-ES" w:eastAsia="es-ES"/>
        </w:rPr>
      </w:pPr>
      <w:r w:rsidRPr="004E7897">
        <w:rPr>
          <w:rFonts w:ascii="Arial Narrow" w:eastAsia="Times New Roman" w:hAnsi="Arial Narrow" w:cs="Arial"/>
          <w:b/>
          <w:sz w:val="24"/>
          <w:szCs w:val="24"/>
          <w:lang w:val="es-ES" w:eastAsia="es-ES"/>
        </w:rPr>
        <w:t>CAPITULO I</w:t>
      </w:r>
    </w:p>
    <w:p w:rsidR="000150F7" w:rsidRPr="004E7897" w:rsidRDefault="000150F7" w:rsidP="00453D96">
      <w:pPr>
        <w:spacing w:after="0" w:line="240" w:lineRule="auto"/>
        <w:jc w:val="center"/>
        <w:rPr>
          <w:rFonts w:ascii="Arial Narrow" w:eastAsia="Times New Roman" w:hAnsi="Arial Narrow" w:cs="Arial"/>
          <w:b/>
          <w:sz w:val="24"/>
          <w:szCs w:val="24"/>
          <w:lang w:val="es-ES" w:eastAsia="es-ES"/>
        </w:rPr>
      </w:pPr>
    </w:p>
    <w:p w:rsidR="000150F7" w:rsidRPr="004E7897" w:rsidRDefault="000150F7" w:rsidP="00453D96">
      <w:pPr>
        <w:spacing w:after="0" w:line="240" w:lineRule="auto"/>
        <w:jc w:val="center"/>
        <w:rPr>
          <w:rFonts w:ascii="Arial Narrow" w:eastAsia="Times New Roman" w:hAnsi="Arial Narrow" w:cs="Arial"/>
          <w:b/>
          <w:sz w:val="24"/>
          <w:szCs w:val="24"/>
          <w:lang w:val="es-ES" w:eastAsia="es-ES"/>
        </w:rPr>
      </w:pPr>
      <w:r w:rsidRPr="004E7897">
        <w:rPr>
          <w:rFonts w:ascii="Arial Narrow" w:eastAsia="Times New Roman" w:hAnsi="Arial Narrow" w:cs="Arial"/>
          <w:b/>
          <w:sz w:val="24"/>
          <w:szCs w:val="24"/>
          <w:lang w:val="es-ES" w:eastAsia="es-ES"/>
        </w:rPr>
        <w:t>Disposiciones Generales</w:t>
      </w:r>
    </w:p>
    <w:p w:rsidR="00CA4EDC" w:rsidRPr="004E7897" w:rsidRDefault="00CA4EDC" w:rsidP="00CA4EDC">
      <w:pPr>
        <w:spacing w:after="0" w:line="240" w:lineRule="auto"/>
        <w:jc w:val="both"/>
        <w:rPr>
          <w:rFonts w:ascii="Arial Narrow" w:eastAsia="Times New Roman" w:hAnsi="Arial Narrow" w:cs="Arial"/>
          <w:sz w:val="24"/>
          <w:szCs w:val="24"/>
          <w:lang w:val="es-ES" w:eastAsia="es-ES"/>
        </w:rPr>
      </w:pPr>
    </w:p>
    <w:p w:rsidR="00CA4EDC" w:rsidRPr="004E7897" w:rsidRDefault="00CA4EDC" w:rsidP="00CA4EDC">
      <w:pPr>
        <w:spacing w:after="0" w:line="240" w:lineRule="auto"/>
        <w:jc w:val="both"/>
        <w:rPr>
          <w:rFonts w:ascii="Arial Narrow" w:eastAsia="Times New Roman" w:hAnsi="Arial Narrow" w:cs="Arial"/>
          <w:b/>
          <w:sz w:val="24"/>
          <w:szCs w:val="24"/>
          <w:lang w:val="es-ES" w:eastAsia="es-ES"/>
        </w:rPr>
      </w:pPr>
      <w:r w:rsidRPr="004E7897">
        <w:rPr>
          <w:rFonts w:ascii="Arial Narrow" w:eastAsia="Times New Roman" w:hAnsi="Arial Narrow" w:cs="Arial"/>
          <w:b/>
          <w:sz w:val="24"/>
          <w:szCs w:val="24"/>
          <w:lang w:val="es-ES" w:eastAsia="es-ES"/>
        </w:rPr>
        <w:t>Artículo 1°. Adiciónese el artículo 219 C a la Ley 599 de 2000, el cual quedará así:</w:t>
      </w:r>
    </w:p>
    <w:p w:rsidR="00CA4EDC" w:rsidRPr="004E7897" w:rsidRDefault="00CA4EDC" w:rsidP="00CA4EDC">
      <w:pPr>
        <w:spacing w:after="0" w:line="240" w:lineRule="auto"/>
        <w:jc w:val="both"/>
        <w:rPr>
          <w:rFonts w:ascii="Arial Narrow" w:eastAsia="Times New Roman" w:hAnsi="Arial Narrow" w:cs="Arial"/>
          <w:b/>
          <w:sz w:val="24"/>
          <w:szCs w:val="24"/>
          <w:lang w:val="es-ES" w:eastAsia="es-ES"/>
        </w:rPr>
      </w:pPr>
    </w:p>
    <w:p w:rsidR="00CA4EDC" w:rsidRPr="004E7897" w:rsidRDefault="00CA4EDC" w:rsidP="00CA4EDC">
      <w:pPr>
        <w:spacing w:after="0"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Inhabilidades por delitos sexuales cometidos contra menores: Las personas que hayan sido condenados por la comisión de delitos contra la libertad, integridad y formación sexuales de persona menor de 18 años de acuerdo con el Título IV de la presente ley; serán inhabilitadas para el desempeño de cargos, oficios o profesiones que involucren una relación directa y habitual con menores de edad en los términos que establezca el Instituto Colombiano de Bienestar Familiar, o quien haga sus veces.</w:t>
      </w:r>
    </w:p>
    <w:p w:rsidR="00CA4EDC" w:rsidRPr="004E7897" w:rsidRDefault="00CA4EDC" w:rsidP="00CA4EDC">
      <w:pPr>
        <w:spacing w:after="0" w:line="240" w:lineRule="auto"/>
        <w:jc w:val="both"/>
        <w:rPr>
          <w:rFonts w:ascii="Arial Narrow" w:eastAsia="Times New Roman" w:hAnsi="Arial Narrow" w:cs="Arial"/>
          <w:sz w:val="24"/>
          <w:szCs w:val="24"/>
          <w:lang w:val="es-ES" w:eastAsia="es-ES"/>
        </w:rPr>
      </w:pPr>
    </w:p>
    <w:p w:rsidR="00CA4EDC" w:rsidRPr="004E7897" w:rsidRDefault="00CA4EDC" w:rsidP="00CA4EDC">
      <w:pPr>
        <w:spacing w:after="0"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b/>
          <w:sz w:val="24"/>
          <w:szCs w:val="24"/>
          <w:lang w:val="es-ES" w:eastAsia="es-ES"/>
        </w:rPr>
        <w:t xml:space="preserve">Artículo 2°. Delimitación de cargos, oficios o profesiones. </w:t>
      </w:r>
      <w:r w:rsidRPr="004E7897">
        <w:rPr>
          <w:rFonts w:ascii="Arial Narrow" w:eastAsia="Times New Roman" w:hAnsi="Arial Narrow" w:cs="Arial"/>
          <w:sz w:val="24"/>
          <w:szCs w:val="24"/>
          <w:lang w:val="es-ES" w:eastAsia="es-ES"/>
        </w:rPr>
        <w:t>Corresponde al Gobierno nacional a través del Instituto Colombiano de Bienestar Familiar (ICBF), definir aquellos cargos, oficios o profesiones que teniendo una relación directa y habitual con menores de edad son susceptibles de aplicación de la inhabilidad por delitos sexuales cometidos contra menores.</w:t>
      </w:r>
    </w:p>
    <w:p w:rsidR="00CA4EDC" w:rsidRPr="004E7897" w:rsidRDefault="00CA4EDC" w:rsidP="00CA4EDC">
      <w:pPr>
        <w:spacing w:after="0" w:line="240" w:lineRule="auto"/>
        <w:jc w:val="both"/>
        <w:rPr>
          <w:rFonts w:ascii="Arial Narrow" w:eastAsia="Times New Roman" w:hAnsi="Arial Narrow" w:cs="Arial"/>
          <w:sz w:val="24"/>
          <w:szCs w:val="24"/>
          <w:lang w:val="es-ES" w:eastAsia="es-ES"/>
        </w:rPr>
      </w:pPr>
    </w:p>
    <w:p w:rsidR="00CA4EDC" w:rsidRPr="004E7897" w:rsidRDefault="00CA4EDC" w:rsidP="00CA4EDC">
      <w:pPr>
        <w:spacing w:after="0"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b/>
          <w:sz w:val="24"/>
          <w:szCs w:val="24"/>
          <w:lang w:val="es-ES" w:eastAsia="es-ES"/>
        </w:rPr>
        <w:t>Artículo 3°. Registro de inhabilidades por delitos sexuales contra menores de edad.</w:t>
      </w:r>
      <w:r w:rsidRPr="004E7897">
        <w:rPr>
          <w:rFonts w:ascii="Arial Narrow" w:eastAsia="Times New Roman" w:hAnsi="Arial Narrow" w:cs="Arial"/>
          <w:sz w:val="24"/>
          <w:szCs w:val="24"/>
          <w:lang w:val="es-ES" w:eastAsia="es-ES"/>
        </w:rPr>
        <w:t xml:space="preserve"> Corresponde al Ministerio de Defensa Policía Nacional, crear y administrar la base de datos personales de quienes hayan sido declarados inhabilitados por delitos sexuales contra menores de edad, el Gobierno nacional reglamentará la materia.</w:t>
      </w:r>
    </w:p>
    <w:p w:rsidR="00CA4EDC" w:rsidRPr="004E7897" w:rsidRDefault="00CA4EDC" w:rsidP="00CA4EDC">
      <w:pPr>
        <w:spacing w:after="0"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 xml:space="preserve">Asimismo, el certificado de antecedentes judiciales tendrá una sección especial de carácter reservado denominada Inhabilidades impuestas por delitos sexuales cometidos contra menores de edad. El Ministerio de </w:t>
      </w:r>
      <w:r w:rsidR="009C5FF3" w:rsidRPr="004E7897">
        <w:rPr>
          <w:rFonts w:ascii="Arial Narrow" w:eastAsia="Times New Roman" w:hAnsi="Arial Narrow" w:cs="Arial"/>
          <w:sz w:val="24"/>
          <w:szCs w:val="24"/>
          <w:lang w:val="es-ES" w:eastAsia="es-ES"/>
        </w:rPr>
        <w:t>Defensa Policía</w:t>
      </w:r>
      <w:r w:rsidRPr="004E7897">
        <w:rPr>
          <w:rFonts w:ascii="Arial Narrow" w:eastAsia="Times New Roman" w:hAnsi="Arial Narrow" w:cs="Arial"/>
          <w:sz w:val="24"/>
          <w:szCs w:val="24"/>
          <w:lang w:val="es-ES" w:eastAsia="es-ES"/>
        </w:rPr>
        <w:t xml:space="preserve"> Nacional solo expedirá certificado de inhabilidad por delitos sexuales </w:t>
      </w:r>
      <w:r w:rsidRPr="004E7897">
        <w:rPr>
          <w:rFonts w:ascii="Arial Narrow" w:eastAsia="Times New Roman" w:hAnsi="Arial Narrow" w:cs="Arial"/>
          <w:sz w:val="24"/>
          <w:szCs w:val="24"/>
          <w:lang w:val="es-ES" w:eastAsia="es-ES"/>
        </w:rPr>
        <w:lastRenderedPageBreak/>
        <w:t>cometidos contra menores a solicitud de las entidades públicas o privadas obligadas a cumplir con el deber de verificación en los términos de la presente ley.</w:t>
      </w:r>
    </w:p>
    <w:p w:rsidR="00CA4EDC" w:rsidRPr="004E7897" w:rsidRDefault="00CA4EDC" w:rsidP="00CA4EDC">
      <w:pPr>
        <w:spacing w:after="0"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La solicitud de certificado de inhabilidades por delitos sexuales cometidos contra menores se realizará por aplicativo virtual que deberá contener como requisitos mínimos:</w:t>
      </w:r>
    </w:p>
    <w:p w:rsidR="00CA4EDC" w:rsidRPr="004E7897" w:rsidRDefault="00CA4EDC" w:rsidP="00CA4EDC">
      <w:pPr>
        <w:spacing w:after="0" w:line="240" w:lineRule="auto"/>
        <w:jc w:val="both"/>
        <w:rPr>
          <w:rFonts w:ascii="Arial Narrow" w:eastAsia="Times New Roman" w:hAnsi="Arial Narrow" w:cs="Arial"/>
          <w:sz w:val="24"/>
          <w:szCs w:val="24"/>
          <w:lang w:val="es-ES" w:eastAsia="es-ES"/>
        </w:rPr>
      </w:pPr>
    </w:p>
    <w:p w:rsidR="00CA4EDC" w:rsidRPr="004E7897" w:rsidRDefault="00CA4EDC" w:rsidP="00CA4EDC">
      <w:pPr>
        <w:pStyle w:val="Prrafodelista"/>
        <w:numPr>
          <w:ilvl w:val="0"/>
          <w:numId w:val="17"/>
        </w:numPr>
        <w:spacing w:after="0"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La identificación de la persona natural o jurídica solicitante.</w:t>
      </w:r>
    </w:p>
    <w:p w:rsidR="00CA4EDC" w:rsidRPr="004E7897" w:rsidRDefault="00CA4EDC" w:rsidP="00CA4EDC">
      <w:pPr>
        <w:pStyle w:val="Prrafodelista"/>
        <w:numPr>
          <w:ilvl w:val="0"/>
          <w:numId w:val="17"/>
        </w:numPr>
        <w:spacing w:after="0"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La naturaleza del cargo u oficio a desempeñar por la persona sujeta a verificación.</w:t>
      </w:r>
    </w:p>
    <w:p w:rsidR="00CA4EDC" w:rsidRPr="004E7897" w:rsidRDefault="00CA4EDC" w:rsidP="00CA4EDC">
      <w:pPr>
        <w:pStyle w:val="Prrafodelista"/>
        <w:numPr>
          <w:ilvl w:val="0"/>
          <w:numId w:val="17"/>
        </w:numPr>
        <w:spacing w:after="0"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Autorización previa del aspirante al cargo para ser consultado en las bases de datos.</w:t>
      </w:r>
    </w:p>
    <w:p w:rsidR="00CA4EDC" w:rsidRPr="004E7897" w:rsidRDefault="00CA4EDC" w:rsidP="00CA4EDC">
      <w:pPr>
        <w:pStyle w:val="Prrafodelista"/>
        <w:numPr>
          <w:ilvl w:val="0"/>
          <w:numId w:val="17"/>
        </w:numPr>
        <w:spacing w:after="0"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Datos del consultado.</w:t>
      </w:r>
    </w:p>
    <w:p w:rsidR="00CA4EDC" w:rsidRPr="004E7897" w:rsidRDefault="00CA4EDC" w:rsidP="00CA4EDC">
      <w:pPr>
        <w:pStyle w:val="Prrafodelista"/>
        <w:numPr>
          <w:ilvl w:val="0"/>
          <w:numId w:val="17"/>
        </w:numPr>
        <w:spacing w:after="0"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sz w:val="24"/>
          <w:szCs w:val="24"/>
          <w:lang w:val="es-ES" w:eastAsia="es-ES"/>
        </w:rPr>
        <w:t>La aceptación bajo gravedad de juramento que la información suministrada será utilizada de manera exclusiva para el proceso de selección personal en los cargos, oficios, profesiones que involucren una relación directa y habitual con menores.</w:t>
      </w:r>
    </w:p>
    <w:p w:rsidR="00CA4EDC" w:rsidRPr="004E7897" w:rsidRDefault="00CA4EDC" w:rsidP="00CA4EDC">
      <w:pPr>
        <w:pStyle w:val="Prrafodelista"/>
        <w:spacing w:after="0" w:line="240" w:lineRule="auto"/>
        <w:jc w:val="both"/>
        <w:rPr>
          <w:rFonts w:ascii="Arial Narrow" w:eastAsia="Times New Roman" w:hAnsi="Arial Narrow" w:cs="Arial"/>
          <w:sz w:val="24"/>
          <w:szCs w:val="24"/>
          <w:lang w:val="es-ES" w:eastAsia="es-ES"/>
        </w:rPr>
      </w:pPr>
    </w:p>
    <w:p w:rsidR="00CA4EDC" w:rsidRPr="004E7897" w:rsidRDefault="00CA4EDC" w:rsidP="00CA4EDC">
      <w:pPr>
        <w:spacing w:after="0"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b/>
          <w:sz w:val="24"/>
          <w:szCs w:val="24"/>
          <w:lang w:val="es-ES" w:eastAsia="es-ES"/>
        </w:rPr>
        <w:t>Artículo 4°. Deber de verificación.</w:t>
      </w:r>
      <w:r w:rsidRPr="004E7897">
        <w:rPr>
          <w:rFonts w:ascii="Arial Narrow" w:eastAsia="Times New Roman" w:hAnsi="Arial Narrow" w:cs="Arial"/>
          <w:sz w:val="24"/>
          <w:szCs w:val="24"/>
          <w:lang w:val="es-ES" w:eastAsia="es-ES"/>
        </w:rPr>
        <w:t xml:space="preserve"> Es deber de las entidades públicas o privadas verificar el registro de inhabilidades por delitos sexuales cometidos contra personas menores edad, en el desarrollo de los procesos de selección de personal para el desempeño de cargos, oficios, profesiones que involucren una relación directa y habitual con menores previamente definidos por el Instituto Colombiano de Bienestar Familiar.</w:t>
      </w:r>
    </w:p>
    <w:p w:rsidR="00CA4EDC" w:rsidRPr="004E7897" w:rsidRDefault="00CA4EDC" w:rsidP="00CA4EDC">
      <w:pPr>
        <w:spacing w:after="0" w:line="240" w:lineRule="auto"/>
        <w:jc w:val="both"/>
        <w:rPr>
          <w:rFonts w:ascii="Arial Narrow" w:eastAsia="Times New Roman" w:hAnsi="Arial Narrow" w:cs="Arial"/>
          <w:sz w:val="24"/>
          <w:szCs w:val="24"/>
          <w:lang w:val="es-ES" w:eastAsia="es-ES"/>
        </w:rPr>
      </w:pPr>
    </w:p>
    <w:p w:rsidR="00CA4EDC" w:rsidRPr="004E7897" w:rsidRDefault="00CA4EDC" w:rsidP="00CA4EDC">
      <w:pPr>
        <w:spacing w:after="0"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b/>
          <w:sz w:val="24"/>
          <w:szCs w:val="24"/>
          <w:lang w:val="es-ES" w:eastAsia="es-ES"/>
        </w:rPr>
        <w:t>Parágrafo 1°.</w:t>
      </w:r>
      <w:r w:rsidRPr="004E7897">
        <w:rPr>
          <w:rFonts w:ascii="Arial Narrow" w:eastAsia="Times New Roman" w:hAnsi="Arial Narrow" w:cs="Arial"/>
          <w:sz w:val="24"/>
          <w:szCs w:val="24"/>
          <w:lang w:val="es-ES" w:eastAsia="es-ES"/>
        </w:rPr>
        <w:t xml:space="preserve"> Una vez agotado el deber de verificación la entidad devolverá el certificado o la información obtenida consultada so pena de sanción por la Superintendencia de Industria y Comercio en los términos y procedimientos establecidos por la Ley 1581 de 2012, protección de datos personales.</w:t>
      </w:r>
    </w:p>
    <w:p w:rsidR="00CA4EDC" w:rsidRPr="004E7897" w:rsidRDefault="00CA4EDC" w:rsidP="00CA4EDC">
      <w:pPr>
        <w:spacing w:after="0" w:line="240" w:lineRule="auto"/>
        <w:jc w:val="both"/>
        <w:rPr>
          <w:rFonts w:ascii="Arial Narrow" w:eastAsia="Times New Roman" w:hAnsi="Arial Narrow" w:cs="Arial"/>
          <w:sz w:val="24"/>
          <w:szCs w:val="24"/>
          <w:lang w:val="es-ES" w:eastAsia="es-ES"/>
        </w:rPr>
      </w:pPr>
    </w:p>
    <w:p w:rsidR="000150F7" w:rsidRDefault="00CA4EDC" w:rsidP="00CA4EDC">
      <w:pPr>
        <w:spacing w:after="0" w:line="240" w:lineRule="auto"/>
        <w:jc w:val="both"/>
        <w:rPr>
          <w:rFonts w:ascii="Arial Narrow" w:eastAsia="Times New Roman" w:hAnsi="Arial Narrow" w:cs="Arial"/>
          <w:sz w:val="24"/>
          <w:szCs w:val="24"/>
          <w:lang w:val="es-ES" w:eastAsia="es-ES"/>
        </w:rPr>
      </w:pPr>
      <w:r w:rsidRPr="004E7897">
        <w:rPr>
          <w:rFonts w:ascii="Arial Narrow" w:eastAsia="Times New Roman" w:hAnsi="Arial Narrow" w:cs="Arial"/>
          <w:b/>
          <w:sz w:val="24"/>
          <w:szCs w:val="24"/>
          <w:lang w:val="es-ES" w:eastAsia="es-ES"/>
        </w:rPr>
        <w:t>Artículo 5°. Vigencia.</w:t>
      </w:r>
      <w:r w:rsidRPr="004E7897">
        <w:rPr>
          <w:rFonts w:ascii="Arial Narrow" w:eastAsia="Times New Roman" w:hAnsi="Arial Narrow" w:cs="Arial"/>
          <w:sz w:val="24"/>
          <w:szCs w:val="24"/>
          <w:lang w:val="es-ES" w:eastAsia="es-ES"/>
        </w:rPr>
        <w:t xml:space="preserve"> La presente ley rige a partir de su promulgación.</w:t>
      </w:r>
    </w:p>
    <w:p w:rsidR="009C5FF3" w:rsidRDefault="009C5FF3" w:rsidP="00CA4EDC">
      <w:pPr>
        <w:spacing w:after="0" w:line="240" w:lineRule="auto"/>
        <w:jc w:val="both"/>
        <w:rPr>
          <w:rFonts w:ascii="Arial Narrow" w:eastAsia="Times New Roman" w:hAnsi="Arial Narrow" w:cs="Arial"/>
          <w:sz w:val="24"/>
          <w:szCs w:val="24"/>
          <w:lang w:val="es-ES" w:eastAsia="es-ES"/>
        </w:rPr>
      </w:pPr>
    </w:p>
    <w:p w:rsidR="009C5FF3" w:rsidRDefault="009C5FF3" w:rsidP="00CA4EDC">
      <w:pPr>
        <w:spacing w:after="0" w:line="240" w:lineRule="auto"/>
        <w:jc w:val="both"/>
        <w:rPr>
          <w:rFonts w:ascii="Arial Narrow" w:eastAsia="Times New Roman" w:hAnsi="Arial Narrow" w:cs="Arial"/>
          <w:sz w:val="24"/>
          <w:szCs w:val="24"/>
          <w:lang w:val="es-ES" w:eastAsia="es-ES"/>
        </w:rPr>
      </w:pPr>
    </w:p>
    <w:p w:rsidR="009C5FF3" w:rsidRDefault="009C5FF3" w:rsidP="00CA4EDC">
      <w:pPr>
        <w:spacing w:after="0" w:line="240" w:lineRule="auto"/>
        <w:jc w:val="both"/>
        <w:rPr>
          <w:rFonts w:ascii="Arial Narrow" w:eastAsia="Times New Roman" w:hAnsi="Arial Narrow" w:cs="Arial"/>
          <w:sz w:val="24"/>
          <w:szCs w:val="24"/>
          <w:lang w:val="es-ES" w:eastAsia="es-ES"/>
        </w:rPr>
      </w:pPr>
    </w:p>
    <w:p w:rsidR="009C5FF3" w:rsidRDefault="009C5FF3" w:rsidP="00CA4EDC">
      <w:pPr>
        <w:spacing w:after="0" w:line="240" w:lineRule="auto"/>
        <w:jc w:val="both"/>
        <w:rPr>
          <w:rFonts w:ascii="Arial Narrow" w:eastAsia="Times New Roman" w:hAnsi="Arial Narrow" w:cs="Arial"/>
          <w:sz w:val="24"/>
          <w:szCs w:val="24"/>
          <w:lang w:val="es-ES" w:eastAsia="es-ES"/>
        </w:rPr>
      </w:pPr>
    </w:p>
    <w:p w:rsidR="009C5FF3" w:rsidRDefault="009C5FF3" w:rsidP="00CA4EDC">
      <w:pPr>
        <w:spacing w:after="0" w:line="240" w:lineRule="auto"/>
        <w:jc w:val="both"/>
        <w:rPr>
          <w:rFonts w:ascii="Arial Narrow" w:eastAsia="Times New Roman" w:hAnsi="Arial Narrow" w:cs="Arial"/>
          <w:sz w:val="24"/>
          <w:szCs w:val="24"/>
          <w:lang w:val="es-ES" w:eastAsia="es-ES"/>
        </w:rPr>
      </w:pPr>
    </w:p>
    <w:p w:rsidR="009C5FF3" w:rsidRPr="00723788" w:rsidRDefault="009C5FF3" w:rsidP="009C5FF3">
      <w:pPr>
        <w:spacing w:before="28" w:after="28" w:line="240" w:lineRule="auto"/>
        <w:jc w:val="both"/>
        <w:textAlignment w:val="center"/>
        <w:rPr>
          <w:rFonts w:ascii="Arial Narrow" w:eastAsia="Times New Roman" w:hAnsi="Arial Narrow" w:cs="Arial"/>
          <w:b/>
          <w:sz w:val="24"/>
          <w:szCs w:val="24"/>
          <w:lang w:val="es-ES_tradnl" w:eastAsia="es-CO"/>
        </w:rPr>
      </w:pPr>
      <w:r w:rsidRPr="00723788">
        <w:rPr>
          <w:rFonts w:ascii="Arial Narrow" w:eastAsia="Times New Roman" w:hAnsi="Arial Narrow" w:cs="Arial"/>
          <w:b/>
          <w:sz w:val="24"/>
          <w:szCs w:val="24"/>
          <w:lang w:val="es-ES_tradnl" w:eastAsia="es-CO"/>
        </w:rPr>
        <w:t>JUAN CARLOS GARCÍA GÓMEZ</w:t>
      </w:r>
    </w:p>
    <w:p w:rsidR="009C5FF3" w:rsidRDefault="009C5FF3" w:rsidP="009C5FF3">
      <w:pPr>
        <w:spacing w:before="28" w:after="28" w:line="240" w:lineRule="auto"/>
        <w:jc w:val="both"/>
        <w:textAlignment w:val="center"/>
        <w:rPr>
          <w:rFonts w:ascii="Arial Narrow" w:eastAsia="Times New Roman" w:hAnsi="Arial Narrow" w:cs="Arial"/>
          <w:sz w:val="24"/>
          <w:szCs w:val="24"/>
          <w:lang w:val="es-ES_tradnl" w:eastAsia="es-CO"/>
        </w:rPr>
      </w:pPr>
      <w:r>
        <w:rPr>
          <w:rFonts w:ascii="Arial Narrow" w:eastAsia="Times New Roman" w:hAnsi="Arial Narrow" w:cs="Arial"/>
          <w:sz w:val="24"/>
          <w:szCs w:val="24"/>
          <w:lang w:val="es-ES_tradnl" w:eastAsia="es-CO"/>
        </w:rPr>
        <w:t xml:space="preserve">Representante a la Cámara </w:t>
      </w:r>
    </w:p>
    <w:p w:rsidR="006A6CD2" w:rsidRDefault="006A6CD2" w:rsidP="009C5FF3">
      <w:pPr>
        <w:spacing w:before="28" w:after="28" w:line="240" w:lineRule="auto"/>
        <w:jc w:val="both"/>
        <w:textAlignment w:val="center"/>
        <w:rPr>
          <w:rFonts w:ascii="Arial Narrow" w:eastAsia="Times New Roman" w:hAnsi="Arial Narrow" w:cs="Arial"/>
          <w:sz w:val="24"/>
          <w:szCs w:val="24"/>
          <w:lang w:val="es-ES_tradnl" w:eastAsia="es-CO"/>
        </w:rPr>
      </w:pPr>
      <w:r>
        <w:rPr>
          <w:rFonts w:ascii="Arial Narrow" w:eastAsia="Times New Roman" w:hAnsi="Arial Narrow" w:cs="Arial"/>
          <w:sz w:val="24"/>
          <w:szCs w:val="24"/>
          <w:lang w:val="es-ES_tradnl" w:eastAsia="es-CO"/>
        </w:rPr>
        <w:t>Departamento Norte de Santander</w:t>
      </w:r>
    </w:p>
    <w:p w:rsidR="006A6CD2" w:rsidRPr="006A6CD2" w:rsidRDefault="006A6CD2" w:rsidP="009C5FF3">
      <w:pPr>
        <w:spacing w:before="28" w:after="28" w:line="240" w:lineRule="auto"/>
        <w:jc w:val="both"/>
        <w:textAlignment w:val="center"/>
        <w:rPr>
          <w:rFonts w:ascii="Arial Narrow" w:eastAsia="Times New Roman" w:hAnsi="Arial Narrow" w:cs="Arial"/>
          <w:b/>
          <w:sz w:val="24"/>
          <w:szCs w:val="24"/>
          <w:lang w:val="es-ES_tradnl" w:eastAsia="es-CO"/>
        </w:rPr>
      </w:pPr>
      <w:r w:rsidRPr="006A6CD2">
        <w:rPr>
          <w:rFonts w:ascii="Arial Narrow" w:eastAsia="Times New Roman" w:hAnsi="Arial Narrow" w:cs="Arial"/>
          <w:b/>
          <w:sz w:val="24"/>
          <w:szCs w:val="24"/>
          <w:lang w:val="es-ES_tradnl" w:eastAsia="es-CO"/>
        </w:rPr>
        <w:t>Ponente</w:t>
      </w:r>
    </w:p>
    <w:p w:rsidR="009C5FF3" w:rsidRDefault="009C5FF3" w:rsidP="009C5FF3">
      <w:pPr>
        <w:spacing w:before="28" w:after="28" w:line="240" w:lineRule="auto"/>
        <w:jc w:val="both"/>
        <w:textAlignment w:val="center"/>
        <w:rPr>
          <w:rFonts w:ascii="Arial Narrow" w:eastAsia="Times New Roman" w:hAnsi="Arial Narrow" w:cs="Arial"/>
          <w:sz w:val="24"/>
          <w:szCs w:val="24"/>
          <w:lang w:val="es-ES_tradnl" w:eastAsia="es-CO"/>
        </w:rPr>
      </w:pPr>
    </w:p>
    <w:p w:rsidR="009C5FF3" w:rsidRPr="004E7897" w:rsidRDefault="009C5FF3" w:rsidP="00CA4EDC">
      <w:pPr>
        <w:spacing w:after="0" w:line="240" w:lineRule="auto"/>
        <w:jc w:val="both"/>
        <w:rPr>
          <w:rFonts w:ascii="Arial Narrow" w:eastAsia="Times New Roman" w:hAnsi="Arial Narrow" w:cs="Arial"/>
          <w:sz w:val="24"/>
          <w:szCs w:val="24"/>
          <w:lang w:val="es-ES" w:eastAsia="es-ES"/>
        </w:rPr>
      </w:pPr>
    </w:p>
    <w:sectPr w:rsidR="009C5FF3" w:rsidRPr="004E7897" w:rsidSect="005845D3">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664" w:rsidRDefault="00427664" w:rsidP="00877E37">
      <w:pPr>
        <w:spacing w:after="0" w:line="240" w:lineRule="auto"/>
      </w:pPr>
      <w:r>
        <w:separator/>
      </w:r>
    </w:p>
  </w:endnote>
  <w:endnote w:type="continuationSeparator" w:id="0">
    <w:p w:rsidR="00427664" w:rsidRDefault="00427664" w:rsidP="00877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237702"/>
      <w:docPartObj>
        <w:docPartGallery w:val="Page Numbers (Bottom of Page)"/>
        <w:docPartUnique/>
      </w:docPartObj>
    </w:sdtPr>
    <w:sdtEndPr/>
    <w:sdtContent>
      <w:p w:rsidR="00BE7D31" w:rsidRDefault="00BE7D31">
        <w:pPr>
          <w:pStyle w:val="Piedepgina"/>
          <w:jc w:val="center"/>
        </w:pPr>
        <w:r>
          <w:fldChar w:fldCharType="begin"/>
        </w:r>
        <w:r>
          <w:instrText>PAGE   \* MERGEFORMAT</w:instrText>
        </w:r>
        <w:r>
          <w:fldChar w:fldCharType="separate"/>
        </w:r>
        <w:r w:rsidR="00632CD1" w:rsidRPr="00632CD1">
          <w:rPr>
            <w:noProof/>
            <w:lang w:val="es-ES"/>
          </w:rPr>
          <w:t>1</w:t>
        </w:r>
        <w:r>
          <w:fldChar w:fldCharType="end"/>
        </w:r>
      </w:p>
    </w:sdtContent>
  </w:sdt>
  <w:p w:rsidR="00BE7D31" w:rsidRDefault="00BE7D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664" w:rsidRDefault="00427664" w:rsidP="00877E37">
      <w:pPr>
        <w:spacing w:after="0" w:line="240" w:lineRule="auto"/>
      </w:pPr>
      <w:r>
        <w:separator/>
      </w:r>
    </w:p>
  </w:footnote>
  <w:footnote w:type="continuationSeparator" w:id="0">
    <w:p w:rsidR="00427664" w:rsidRDefault="00427664" w:rsidP="00877E37">
      <w:pPr>
        <w:spacing w:after="0" w:line="240" w:lineRule="auto"/>
      </w:pPr>
      <w:r>
        <w:continuationSeparator/>
      </w:r>
    </w:p>
  </w:footnote>
  <w:footnote w:id="1">
    <w:p w:rsidR="00064EF2" w:rsidRDefault="00064EF2" w:rsidP="00C422E9">
      <w:pPr>
        <w:pStyle w:val="Textonotapie"/>
      </w:pPr>
      <w:r>
        <w:rPr>
          <w:rStyle w:val="Refdenotaalpie"/>
        </w:rPr>
        <w:footnoteRef/>
      </w:r>
      <w:r>
        <w:t xml:space="preserve"> </w:t>
      </w:r>
      <w:hyperlink r:id="rId1" w:history="1">
        <w:r w:rsidRPr="00761F3D">
          <w:rPr>
            <w:rStyle w:val="Hipervnculo"/>
          </w:rPr>
          <w:t>http://www.who.int/violence_injury_prevention/violence/inspire/INSPIRE_ExecutiveSummary_ES.pdf</w:t>
        </w:r>
      </w:hyperlink>
      <w:r>
        <w:t xml:space="preserve"> </w:t>
      </w:r>
    </w:p>
    <w:p w:rsidR="00064EF2" w:rsidRDefault="00064EF2" w:rsidP="00C422E9">
      <w:pPr>
        <w:pStyle w:val="Textonotapie"/>
      </w:pPr>
    </w:p>
  </w:footnote>
  <w:footnote w:id="2">
    <w:p w:rsidR="00064EF2" w:rsidRDefault="00064EF2" w:rsidP="004672A1">
      <w:pPr>
        <w:pStyle w:val="Textonotapie"/>
      </w:pPr>
      <w:r>
        <w:rPr>
          <w:rStyle w:val="Refdenotaalpie"/>
        </w:rPr>
        <w:footnoteRef/>
      </w:r>
      <w:r>
        <w:t xml:space="preserve"> Tomado de  informe elaborado por la Biblioteca del Congreso Nacional de Chile, para la Comisión de Constitución, Legislación y Justicia de la Cámara de Diputados, en el marco de la discusión del proyecto de ley que establece un registro público de condenados por delitos de abusos sexuales cometidos contra menores de edad, Boletín 3234-07, en julio de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897" w:rsidRDefault="004E7897" w:rsidP="00877E37">
    <w:pPr>
      <w:pStyle w:val="Encabezado"/>
      <w:jc w:val="center"/>
    </w:pPr>
  </w:p>
  <w:p w:rsidR="00064EF2" w:rsidRDefault="006A6CD2" w:rsidP="00877E37">
    <w:pPr>
      <w:pStyle w:val="Encabezado"/>
      <w:jc w:val="center"/>
    </w:pPr>
    <w:r>
      <w:rPr>
        <w:noProof/>
        <w:color w:val="0000FF"/>
        <w:lang w:eastAsia="es-CO"/>
      </w:rPr>
      <w:drawing>
        <wp:inline distT="0" distB="0" distL="0" distR="0" wp14:anchorId="38315677" wp14:editId="57CEDFBB">
          <wp:extent cx="2468513" cy="730885"/>
          <wp:effectExtent l="0" t="0" r="8255" b="0"/>
          <wp:docPr id="2" name="Imagen 2" descr="Resultado de imagen para congreso de la republica camara de representante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congreso de la republica camara de representante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350" cy="7332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6E91"/>
    <w:multiLevelType w:val="hybridMultilevel"/>
    <w:tmpl w:val="01E2833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06163B50"/>
    <w:multiLevelType w:val="hybridMultilevel"/>
    <w:tmpl w:val="299E1E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277973"/>
    <w:multiLevelType w:val="hybridMultilevel"/>
    <w:tmpl w:val="71BE232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8C91E61"/>
    <w:multiLevelType w:val="hybridMultilevel"/>
    <w:tmpl w:val="D29C24D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CFD4C1B"/>
    <w:multiLevelType w:val="hybridMultilevel"/>
    <w:tmpl w:val="FB8485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DF02FCD"/>
    <w:multiLevelType w:val="hybridMultilevel"/>
    <w:tmpl w:val="9B1289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F467B51"/>
    <w:multiLevelType w:val="hybridMultilevel"/>
    <w:tmpl w:val="328C9B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239027B"/>
    <w:multiLevelType w:val="hybridMultilevel"/>
    <w:tmpl w:val="6498A864"/>
    <w:lvl w:ilvl="0" w:tplc="773E0A66">
      <w:start w:val="1"/>
      <w:numFmt w:val="decimal"/>
      <w:lvlText w:val="%1."/>
      <w:lvlJc w:val="left"/>
      <w:pPr>
        <w:ind w:left="720" w:hanging="360"/>
      </w:pPr>
      <w:rPr>
        <w:rFonts w:eastAsia="Times New Roman"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94552A5"/>
    <w:multiLevelType w:val="hybridMultilevel"/>
    <w:tmpl w:val="6A6E6388"/>
    <w:lvl w:ilvl="0" w:tplc="EA4C23E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B8770E8"/>
    <w:multiLevelType w:val="hybridMultilevel"/>
    <w:tmpl w:val="43242C8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68C37E9"/>
    <w:multiLevelType w:val="hybridMultilevel"/>
    <w:tmpl w:val="606C8F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66C3F04"/>
    <w:multiLevelType w:val="hybridMultilevel"/>
    <w:tmpl w:val="62C4915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635F0471"/>
    <w:multiLevelType w:val="hybridMultilevel"/>
    <w:tmpl w:val="C338E0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3710393"/>
    <w:multiLevelType w:val="multilevel"/>
    <w:tmpl w:val="0A0239C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77554180"/>
    <w:multiLevelType w:val="hybridMultilevel"/>
    <w:tmpl w:val="F928136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BE5462B"/>
    <w:multiLevelType w:val="hybridMultilevel"/>
    <w:tmpl w:val="2A5EDE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D3F2A60"/>
    <w:multiLevelType w:val="hybridMultilevel"/>
    <w:tmpl w:val="088C67EC"/>
    <w:lvl w:ilvl="0" w:tplc="522AA00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13"/>
  </w:num>
  <w:num w:numId="3">
    <w:abstractNumId w:val="15"/>
  </w:num>
  <w:num w:numId="4">
    <w:abstractNumId w:val="4"/>
  </w:num>
  <w:num w:numId="5">
    <w:abstractNumId w:val="9"/>
  </w:num>
  <w:num w:numId="6">
    <w:abstractNumId w:val="12"/>
  </w:num>
  <w:num w:numId="7">
    <w:abstractNumId w:val="0"/>
  </w:num>
  <w:num w:numId="8">
    <w:abstractNumId w:val="16"/>
  </w:num>
  <w:num w:numId="9">
    <w:abstractNumId w:val="6"/>
  </w:num>
  <w:num w:numId="10">
    <w:abstractNumId w:val="2"/>
  </w:num>
  <w:num w:numId="11">
    <w:abstractNumId w:val="14"/>
  </w:num>
  <w:num w:numId="12">
    <w:abstractNumId w:val="3"/>
  </w:num>
  <w:num w:numId="13">
    <w:abstractNumId w:val="10"/>
  </w:num>
  <w:num w:numId="14">
    <w:abstractNumId w:val="11"/>
  </w:num>
  <w:num w:numId="15">
    <w:abstractNumId w:val="5"/>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C02"/>
    <w:rsid w:val="00001156"/>
    <w:rsid w:val="00002206"/>
    <w:rsid w:val="00002A21"/>
    <w:rsid w:val="00002F82"/>
    <w:rsid w:val="0000358E"/>
    <w:rsid w:val="000035AB"/>
    <w:rsid w:val="00004DD1"/>
    <w:rsid w:val="000063F7"/>
    <w:rsid w:val="00011F15"/>
    <w:rsid w:val="000129B9"/>
    <w:rsid w:val="00012FEA"/>
    <w:rsid w:val="000150F7"/>
    <w:rsid w:val="000161F0"/>
    <w:rsid w:val="000171BE"/>
    <w:rsid w:val="00020728"/>
    <w:rsid w:val="00023333"/>
    <w:rsid w:val="00023DC3"/>
    <w:rsid w:val="00024865"/>
    <w:rsid w:val="000262E1"/>
    <w:rsid w:val="0002669F"/>
    <w:rsid w:val="00030BA6"/>
    <w:rsid w:val="000334CF"/>
    <w:rsid w:val="000354AB"/>
    <w:rsid w:val="000360C5"/>
    <w:rsid w:val="000364EE"/>
    <w:rsid w:val="000405CB"/>
    <w:rsid w:val="0004342D"/>
    <w:rsid w:val="00045ECB"/>
    <w:rsid w:val="00046340"/>
    <w:rsid w:val="00046C32"/>
    <w:rsid w:val="00047FE7"/>
    <w:rsid w:val="00052431"/>
    <w:rsid w:val="00053986"/>
    <w:rsid w:val="000560BF"/>
    <w:rsid w:val="0005736F"/>
    <w:rsid w:val="00062304"/>
    <w:rsid w:val="00062C40"/>
    <w:rsid w:val="000635C1"/>
    <w:rsid w:val="00064B19"/>
    <w:rsid w:val="00064EF2"/>
    <w:rsid w:val="00065668"/>
    <w:rsid w:val="000718C2"/>
    <w:rsid w:val="00072B38"/>
    <w:rsid w:val="00072C5A"/>
    <w:rsid w:val="00072C81"/>
    <w:rsid w:val="000730D0"/>
    <w:rsid w:val="00073B93"/>
    <w:rsid w:val="00074440"/>
    <w:rsid w:val="0007704C"/>
    <w:rsid w:val="000779E2"/>
    <w:rsid w:val="00077EF4"/>
    <w:rsid w:val="000806D1"/>
    <w:rsid w:val="00083D2F"/>
    <w:rsid w:val="00090A69"/>
    <w:rsid w:val="000913B0"/>
    <w:rsid w:val="00095B28"/>
    <w:rsid w:val="000963F7"/>
    <w:rsid w:val="00097B22"/>
    <w:rsid w:val="000A19E3"/>
    <w:rsid w:val="000A2077"/>
    <w:rsid w:val="000A226F"/>
    <w:rsid w:val="000A31A0"/>
    <w:rsid w:val="000A3506"/>
    <w:rsid w:val="000A551C"/>
    <w:rsid w:val="000A5846"/>
    <w:rsid w:val="000A5BBB"/>
    <w:rsid w:val="000A6858"/>
    <w:rsid w:val="000A6A1F"/>
    <w:rsid w:val="000A6C5B"/>
    <w:rsid w:val="000B007A"/>
    <w:rsid w:val="000B066F"/>
    <w:rsid w:val="000B0C5C"/>
    <w:rsid w:val="000B2AE0"/>
    <w:rsid w:val="000B4EA1"/>
    <w:rsid w:val="000B556F"/>
    <w:rsid w:val="000B5D88"/>
    <w:rsid w:val="000C1F40"/>
    <w:rsid w:val="000C34F0"/>
    <w:rsid w:val="000C4E80"/>
    <w:rsid w:val="000C548B"/>
    <w:rsid w:val="000C69B8"/>
    <w:rsid w:val="000D0349"/>
    <w:rsid w:val="000D0B33"/>
    <w:rsid w:val="000D0E55"/>
    <w:rsid w:val="000D1F57"/>
    <w:rsid w:val="000D3043"/>
    <w:rsid w:val="000D40CB"/>
    <w:rsid w:val="000D65B7"/>
    <w:rsid w:val="000E3671"/>
    <w:rsid w:val="000E399C"/>
    <w:rsid w:val="000E66DC"/>
    <w:rsid w:val="000E7960"/>
    <w:rsid w:val="000F1329"/>
    <w:rsid w:val="000F22C2"/>
    <w:rsid w:val="000F2467"/>
    <w:rsid w:val="000F4B19"/>
    <w:rsid w:val="000F72F2"/>
    <w:rsid w:val="000F79EF"/>
    <w:rsid w:val="000F7B27"/>
    <w:rsid w:val="001008A1"/>
    <w:rsid w:val="00100F8C"/>
    <w:rsid w:val="00101D4C"/>
    <w:rsid w:val="00103C10"/>
    <w:rsid w:val="00105667"/>
    <w:rsid w:val="00105794"/>
    <w:rsid w:val="00110519"/>
    <w:rsid w:val="00110DCB"/>
    <w:rsid w:val="001136CA"/>
    <w:rsid w:val="001141B5"/>
    <w:rsid w:val="001148C7"/>
    <w:rsid w:val="001162A9"/>
    <w:rsid w:val="001171FF"/>
    <w:rsid w:val="00121B9A"/>
    <w:rsid w:val="00122662"/>
    <w:rsid w:val="0012462A"/>
    <w:rsid w:val="001254BB"/>
    <w:rsid w:val="001339FB"/>
    <w:rsid w:val="00133EFB"/>
    <w:rsid w:val="001351B1"/>
    <w:rsid w:val="00135376"/>
    <w:rsid w:val="0013576A"/>
    <w:rsid w:val="00136E01"/>
    <w:rsid w:val="00137DF7"/>
    <w:rsid w:val="001407E1"/>
    <w:rsid w:val="00140D8A"/>
    <w:rsid w:val="00140DB3"/>
    <w:rsid w:val="00141781"/>
    <w:rsid w:val="001472A4"/>
    <w:rsid w:val="00147423"/>
    <w:rsid w:val="001503E7"/>
    <w:rsid w:val="001507DB"/>
    <w:rsid w:val="00151110"/>
    <w:rsid w:val="001516B9"/>
    <w:rsid w:val="00151E71"/>
    <w:rsid w:val="001531C8"/>
    <w:rsid w:val="0015395D"/>
    <w:rsid w:val="001543AF"/>
    <w:rsid w:val="00154B80"/>
    <w:rsid w:val="00156D6C"/>
    <w:rsid w:val="00156F06"/>
    <w:rsid w:val="00161497"/>
    <w:rsid w:val="00161B9B"/>
    <w:rsid w:val="00162A09"/>
    <w:rsid w:val="001634DF"/>
    <w:rsid w:val="001635F0"/>
    <w:rsid w:val="00163BBB"/>
    <w:rsid w:val="00167E6D"/>
    <w:rsid w:val="001712C8"/>
    <w:rsid w:val="00172807"/>
    <w:rsid w:val="00172FD5"/>
    <w:rsid w:val="00172FF3"/>
    <w:rsid w:val="00173571"/>
    <w:rsid w:val="0017506D"/>
    <w:rsid w:val="00180437"/>
    <w:rsid w:val="00180840"/>
    <w:rsid w:val="00181350"/>
    <w:rsid w:val="00182625"/>
    <w:rsid w:val="00182837"/>
    <w:rsid w:val="00183F10"/>
    <w:rsid w:val="001851A6"/>
    <w:rsid w:val="0018753D"/>
    <w:rsid w:val="00190DCF"/>
    <w:rsid w:val="00196A27"/>
    <w:rsid w:val="00197148"/>
    <w:rsid w:val="001A02D0"/>
    <w:rsid w:val="001A2AAD"/>
    <w:rsid w:val="001A32C8"/>
    <w:rsid w:val="001A3597"/>
    <w:rsid w:val="001A3F1E"/>
    <w:rsid w:val="001A46A6"/>
    <w:rsid w:val="001A4A4A"/>
    <w:rsid w:val="001A6872"/>
    <w:rsid w:val="001B17B0"/>
    <w:rsid w:val="001B3B2C"/>
    <w:rsid w:val="001B3EA0"/>
    <w:rsid w:val="001B4938"/>
    <w:rsid w:val="001B6DEF"/>
    <w:rsid w:val="001B7577"/>
    <w:rsid w:val="001C2403"/>
    <w:rsid w:val="001C2E6C"/>
    <w:rsid w:val="001C3373"/>
    <w:rsid w:val="001C4B61"/>
    <w:rsid w:val="001C52F7"/>
    <w:rsid w:val="001C55D8"/>
    <w:rsid w:val="001D0F8D"/>
    <w:rsid w:val="001D119F"/>
    <w:rsid w:val="001D32E5"/>
    <w:rsid w:val="001D3AE1"/>
    <w:rsid w:val="001D530C"/>
    <w:rsid w:val="001D5B27"/>
    <w:rsid w:val="001E090C"/>
    <w:rsid w:val="001E25F6"/>
    <w:rsid w:val="001E4285"/>
    <w:rsid w:val="002002C6"/>
    <w:rsid w:val="002016C8"/>
    <w:rsid w:val="002026EC"/>
    <w:rsid w:val="00205CC2"/>
    <w:rsid w:val="0020603C"/>
    <w:rsid w:val="002066ED"/>
    <w:rsid w:val="002067B4"/>
    <w:rsid w:val="00206BDC"/>
    <w:rsid w:val="00211A5E"/>
    <w:rsid w:val="00211C74"/>
    <w:rsid w:val="00211F93"/>
    <w:rsid w:val="002131A4"/>
    <w:rsid w:val="00213554"/>
    <w:rsid w:val="002147AC"/>
    <w:rsid w:val="0021661D"/>
    <w:rsid w:val="002178A0"/>
    <w:rsid w:val="002207E2"/>
    <w:rsid w:val="00220B30"/>
    <w:rsid w:val="002224DB"/>
    <w:rsid w:val="0022267E"/>
    <w:rsid w:val="00223229"/>
    <w:rsid w:val="00223882"/>
    <w:rsid w:val="0022715E"/>
    <w:rsid w:val="002272E8"/>
    <w:rsid w:val="00234EA8"/>
    <w:rsid w:val="00234FC5"/>
    <w:rsid w:val="00235C28"/>
    <w:rsid w:val="0024034E"/>
    <w:rsid w:val="00240B34"/>
    <w:rsid w:val="00240F85"/>
    <w:rsid w:val="00241753"/>
    <w:rsid w:val="002434D6"/>
    <w:rsid w:val="0024461E"/>
    <w:rsid w:val="0024783D"/>
    <w:rsid w:val="002503A2"/>
    <w:rsid w:val="00252882"/>
    <w:rsid w:val="00252E57"/>
    <w:rsid w:val="002534B3"/>
    <w:rsid w:val="00255151"/>
    <w:rsid w:val="002554C8"/>
    <w:rsid w:val="0025657D"/>
    <w:rsid w:val="00256910"/>
    <w:rsid w:val="00257DDC"/>
    <w:rsid w:val="00261E89"/>
    <w:rsid w:val="0026270D"/>
    <w:rsid w:val="0026346D"/>
    <w:rsid w:val="00263CE4"/>
    <w:rsid w:val="002650BB"/>
    <w:rsid w:val="00266653"/>
    <w:rsid w:val="00267521"/>
    <w:rsid w:val="002717B0"/>
    <w:rsid w:val="0027299F"/>
    <w:rsid w:val="0027306C"/>
    <w:rsid w:val="002737DA"/>
    <w:rsid w:val="00275F71"/>
    <w:rsid w:val="00276013"/>
    <w:rsid w:val="00276939"/>
    <w:rsid w:val="00276B42"/>
    <w:rsid w:val="00280544"/>
    <w:rsid w:val="00280548"/>
    <w:rsid w:val="002810EA"/>
    <w:rsid w:val="002812D9"/>
    <w:rsid w:val="00282002"/>
    <w:rsid w:val="00282382"/>
    <w:rsid w:val="002824EC"/>
    <w:rsid w:val="00284B9E"/>
    <w:rsid w:val="002868A5"/>
    <w:rsid w:val="00290072"/>
    <w:rsid w:val="00290530"/>
    <w:rsid w:val="002916C2"/>
    <w:rsid w:val="00292E80"/>
    <w:rsid w:val="00294A54"/>
    <w:rsid w:val="0029542B"/>
    <w:rsid w:val="0029731A"/>
    <w:rsid w:val="002A000C"/>
    <w:rsid w:val="002A2F56"/>
    <w:rsid w:val="002A3B18"/>
    <w:rsid w:val="002A6EC5"/>
    <w:rsid w:val="002A7F23"/>
    <w:rsid w:val="002B0D95"/>
    <w:rsid w:val="002B13C5"/>
    <w:rsid w:val="002B3248"/>
    <w:rsid w:val="002B3D33"/>
    <w:rsid w:val="002B412A"/>
    <w:rsid w:val="002B6C5F"/>
    <w:rsid w:val="002B71F9"/>
    <w:rsid w:val="002C0DD0"/>
    <w:rsid w:val="002C18CA"/>
    <w:rsid w:val="002C1B45"/>
    <w:rsid w:val="002C2FE4"/>
    <w:rsid w:val="002C5137"/>
    <w:rsid w:val="002C6A1E"/>
    <w:rsid w:val="002C6F81"/>
    <w:rsid w:val="002D2B5F"/>
    <w:rsid w:val="002D37CB"/>
    <w:rsid w:val="002D3E69"/>
    <w:rsid w:val="002D5E72"/>
    <w:rsid w:val="002D6939"/>
    <w:rsid w:val="002D7426"/>
    <w:rsid w:val="002D7791"/>
    <w:rsid w:val="002E1B6C"/>
    <w:rsid w:val="002E2AA1"/>
    <w:rsid w:val="002E2AC6"/>
    <w:rsid w:val="002E419F"/>
    <w:rsid w:val="002E44F3"/>
    <w:rsid w:val="002E73AF"/>
    <w:rsid w:val="002F11F2"/>
    <w:rsid w:val="002F42AC"/>
    <w:rsid w:val="002F510E"/>
    <w:rsid w:val="002F5638"/>
    <w:rsid w:val="002F5639"/>
    <w:rsid w:val="00300D82"/>
    <w:rsid w:val="0030157E"/>
    <w:rsid w:val="0030190B"/>
    <w:rsid w:val="00302465"/>
    <w:rsid w:val="00303ED3"/>
    <w:rsid w:val="0030593B"/>
    <w:rsid w:val="00305C5F"/>
    <w:rsid w:val="00305D6B"/>
    <w:rsid w:val="003077B9"/>
    <w:rsid w:val="00307B7F"/>
    <w:rsid w:val="0031041A"/>
    <w:rsid w:val="00310D10"/>
    <w:rsid w:val="00311D2C"/>
    <w:rsid w:val="00313CF8"/>
    <w:rsid w:val="00314EB3"/>
    <w:rsid w:val="00315222"/>
    <w:rsid w:val="00315EA1"/>
    <w:rsid w:val="00316BD6"/>
    <w:rsid w:val="00316D10"/>
    <w:rsid w:val="00317DBF"/>
    <w:rsid w:val="00320F7C"/>
    <w:rsid w:val="00322766"/>
    <w:rsid w:val="0032365D"/>
    <w:rsid w:val="0032370D"/>
    <w:rsid w:val="00325133"/>
    <w:rsid w:val="00330472"/>
    <w:rsid w:val="00331E28"/>
    <w:rsid w:val="00332E50"/>
    <w:rsid w:val="00333307"/>
    <w:rsid w:val="0033367F"/>
    <w:rsid w:val="00334034"/>
    <w:rsid w:val="0033501F"/>
    <w:rsid w:val="003351D1"/>
    <w:rsid w:val="00335C2D"/>
    <w:rsid w:val="00335DD6"/>
    <w:rsid w:val="00336D08"/>
    <w:rsid w:val="00336E78"/>
    <w:rsid w:val="00337E47"/>
    <w:rsid w:val="00340021"/>
    <w:rsid w:val="00342A17"/>
    <w:rsid w:val="00343376"/>
    <w:rsid w:val="00343608"/>
    <w:rsid w:val="00344830"/>
    <w:rsid w:val="0034633F"/>
    <w:rsid w:val="00347AE3"/>
    <w:rsid w:val="00350C14"/>
    <w:rsid w:val="00350C36"/>
    <w:rsid w:val="00352836"/>
    <w:rsid w:val="00352BB4"/>
    <w:rsid w:val="00353D4C"/>
    <w:rsid w:val="00355606"/>
    <w:rsid w:val="00356777"/>
    <w:rsid w:val="00360F41"/>
    <w:rsid w:val="00360FC8"/>
    <w:rsid w:val="00362ADC"/>
    <w:rsid w:val="00362DE0"/>
    <w:rsid w:val="00365744"/>
    <w:rsid w:val="00370458"/>
    <w:rsid w:val="00371346"/>
    <w:rsid w:val="0037156F"/>
    <w:rsid w:val="003719FA"/>
    <w:rsid w:val="0037368D"/>
    <w:rsid w:val="00375EB2"/>
    <w:rsid w:val="00380C1F"/>
    <w:rsid w:val="00380F92"/>
    <w:rsid w:val="003824F4"/>
    <w:rsid w:val="00382D6D"/>
    <w:rsid w:val="0038367F"/>
    <w:rsid w:val="00383E50"/>
    <w:rsid w:val="00385698"/>
    <w:rsid w:val="00385EF6"/>
    <w:rsid w:val="00386115"/>
    <w:rsid w:val="00387FE3"/>
    <w:rsid w:val="00390962"/>
    <w:rsid w:val="00390C18"/>
    <w:rsid w:val="003914CF"/>
    <w:rsid w:val="00392719"/>
    <w:rsid w:val="00393BA4"/>
    <w:rsid w:val="00393F35"/>
    <w:rsid w:val="00395588"/>
    <w:rsid w:val="0039682B"/>
    <w:rsid w:val="00396A04"/>
    <w:rsid w:val="003A194E"/>
    <w:rsid w:val="003A265B"/>
    <w:rsid w:val="003A3227"/>
    <w:rsid w:val="003A61AA"/>
    <w:rsid w:val="003B188D"/>
    <w:rsid w:val="003B2A8F"/>
    <w:rsid w:val="003B513B"/>
    <w:rsid w:val="003B593B"/>
    <w:rsid w:val="003C0425"/>
    <w:rsid w:val="003C3405"/>
    <w:rsid w:val="003C55CA"/>
    <w:rsid w:val="003C5CED"/>
    <w:rsid w:val="003C6CB2"/>
    <w:rsid w:val="003C7C49"/>
    <w:rsid w:val="003D3665"/>
    <w:rsid w:val="003D4298"/>
    <w:rsid w:val="003D46D5"/>
    <w:rsid w:val="003D5F8A"/>
    <w:rsid w:val="003D6325"/>
    <w:rsid w:val="003D6D39"/>
    <w:rsid w:val="003E0BD6"/>
    <w:rsid w:val="003E1365"/>
    <w:rsid w:val="003E1ED0"/>
    <w:rsid w:val="003E31FB"/>
    <w:rsid w:val="003E6BB6"/>
    <w:rsid w:val="003F1BDD"/>
    <w:rsid w:val="003F5F70"/>
    <w:rsid w:val="003F6D6E"/>
    <w:rsid w:val="003F73F0"/>
    <w:rsid w:val="003F7875"/>
    <w:rsid w:val="00401C10"/>
    <w:rsid w:val="00401DD6"/>
    <w:rsid w:val="00402DE3"/>
    <w:rsid w:val="004034E9"/>
    <w:rsid w:val="004044F9"/>
    <w:rsid w:val="00404837"/>
    <w:rsid w:val="00406334"/>
    <w:rsid w:val="004075EF"/>
    <w:rsid w:val="004123F9"/>
    <w:rsid w:val="00413363"/>
    <w:rsid w:val="004134C5"/>
    <w:rsid w:val="004150F6"/>
    <w:rsid w:val="004217FF"/>
    <w:rsid w:val="00422431"/>
    <w:rsid w:val="0042334C"/>
    <w:rsid w:val="00426F9F"/>
    <w:rsid w:val="00427664"/>
    <w:rsid w:val="00427EE6"/>
    <w:rsid w:val="00433783"/>
    <w:rsid w:val="00434636"/>
    <w:rsid w:val="0043640C"/>
    <w:rsid w:val="00440521"/>
    <w:rsid w:val="00442487"/>
    <w:rsid w:val="0044495E"/>
    <w:rsid w:val="004449FA"/>
    <w:rsid w:val="004473E1"/>
    <w:rsid w:val="004507FD"/>
    <w:rsid w:val="00450D3E"/>
    <w:rsid w:val="00450E6C"/>
    <w:rsid w:val="00451481"/>
    <w:rsid w:val="00451523"/>
    <w:rsid w:val="004519D2"/>
    <w:rsid w:val="00453D96"/>
    <w:rsid w:val="00453E99"/>
    <w:rsid w:val="00453FFA"/>
    <w:rsid w:val="004553FF"/>
    <w:rsid w:val="00455440"/>
    <w:rsid w:val="004606E8"/>
    <w:rsid w:val="00460888"/>
    <w:rsid w:val="00461B0A"/>
    <w:rsid w:val="0046367F"/>
    <w:rsid w:val="00463976"/>
    <w:rsid w:val="00466A28"/>
    <w:rsid w:val="004672A1"/>
    <w:rsid w:val="00470985"/>
    <w:rsid w:val="00470DFD"/>
    <w:rsid w:val="00472D13"/>
    <w:rsid w:val="00473240"/>
    <w:rsid w:val="00473F6B"/>
    <w:rsid w:val="0047553F"/>
    <w:rsid w:val="00476184"/>
    <w:rsid w:val="00480507"/>
    <w:rsid w:val="0048225A"/>
    <w:rsid w:val="0048232F"/>
    <w:rsid w:val="00482E19"/>
    <w:rsid w:val="004870D4"/>
    <w:rsid w:val="0049284C"/>
    <w:rsid w:val="00493C10"/>
    <w:rsid w:val="00494815"/>
    <w:rsid w:val="0049695D"/>
    <w:rsid w:val="00497614"/>
    <w:rsid w:val="004A0DA5"/>
    <w:rsid w:val="004A22A0"/>
    <w:rsid w:val="004A2EFB"/>
    <w:rsid w:val="004A4B78"/>
    <w:rsid w:val="004A52BE"/>
    <w:rsid w:val="004A555C"/>
    <w:rsid w:val="004A7692"/>
    <w:rsid w:val="004B0904"/>
    <w:rsid w:val="004B3EC0"/>
    <w:rsid w:val="004B4B5F"/>
    <w:rsid w:val="004B68EE"/>
    <w:rsid w:val="004B7B1D"/>
    <w:rsid w:val="004B7E5C"/>
    <w:rsid w:val="004C0A75"/>
    <w:rsid w:val="004C0FD6"/>
    <w:rsid w:val="004C2D0F"/>
    <w:rsid w:val="004C7761"/>
    <w:rsid w:val="004C7BF5"/>
    <w:rsid w:val="004D1622"/>
    <w:rsid w:val="004D20F3"/>
    <w:rsid w:val="004D29D4"/>
    <w:rsid w:val="004D2BE2"/>
    <w:rsid w:val="004D2CC4"/>
    <w:rsid w:val="004D3279"/>
    <w:rsid w:val="004D34FE"/>
    <w:rsid w:val="004D5FC2"/>
    <w:rsid w:val="004D684C"/>
    <w:rsid w:val="004E002B"/>
    <w:rsid w:val="004E369B"/>
    <w:rsid w:val="004E4689"/>
    <w:rsid w:val="004E64BB"/>
    <w:rsid w:val="004E6FFA"/>
    <w:rsid w:val="004E7827"/>
    <w:rsid w:val="004E7897"/>
    <w:rsid w:val="004F1DD7"/>
    <w:rsid w:val="004F212A"/>
    <w:rsid w:val="004F249C"/>
    <w:rsid w:val="004F307E"/>
    <w:rsid w:val="004F32AB"/>
    <w:rsid w:val="004F3CE8"/>
    <w:rsid w:val="004F5998"/>
    <w:rsid w:val="004F68A3"/>
    <w:rsid w:val="004F77D3"/>
    <w:rsid w:val="0050118C"/>
    <w:rsid w:val="00503532"/>
    <w:rsid w:val="005038FD"/>
    <w:rsid w:val="00503B71"/>
    <w:rsid w:val="005041CB"/>
    <w:rsid w:val="00507CE0"/>
    <w:rsid w:val="00510216"/>
    <w:rsid w:val="00510275"/>
    <w:rsid w:val="00512F99"/>
    <w:rsid w:val="0051400F"/>
    <w:rsid w:val="005148C4"/>
    <w:rsid w:val="00514F8A"/>
    <w:rsid w:val="00515CF8"/>
    <w:rsid w:val="00516690"/>
    <w:rsid w:val="0052334C"/>
    <w:rsid w:val="00526874"/>
    <w:rsid w:val="005304DF"/>
    <w:rsid w:val="00531389"/>
    <w:rsid w:val="00532462"/>
    <w:rsid w:val="005410CF"/>
    <w:rsid w:val="00541F07"/>
    <w:rsid w:val="0054350B"/>
    <w:rsid w:val="00544080"/>
    <w:rsid w:val="005455AC"/>
    <w:rsid w:val="005478A3"/>
    <w:rsid w:val="005514E1"/>
    <w:rsid w:val="00553989"/>
    <w:rsid w:val="005559AB"/>
    <w:rsid w:val="00555D89"/>
    <w:rsid w:val="005561EE"/>
    <w:rsid w:val="005577AC"/>
    <w:rsid w:val="005603F3"/>
    <w:rsid w:val="00560D14"/>
    <w:rsid w:val="00561B93"/>
    <w:rsid w:val="005652DD"/>
    <w:rsid w:val="0056638E"/>
    <w:rsid w:val="00567D30"/>
    <w:rsid w:val="005706E4"/>
    <w:rsid w:val="0057121C"/>
    <w:rsid w:val="00571A49"/>
    <w:rsid w:val="00572DF6"/>
    <w:rsid w:val="00573194"/>
    <w:rsid w:val="00575190"/>
    <w:rsid w:val="00575EA9"/>
    <w:rsid w:val="0057679A"/>
    <w:rsid w:val="00576A41"/>
    <w:rsid w:val="005808C8"/>
    <w:rsid w:val="00580E1C"/>
    <w:rsid w:val="00581CE0"/>
    <w:rsid w:val="00581DD6"/>
    <w:rsid w:val="00583197"/>
    <w:rsid w:val="00583E15"/>
    <w:rsid w:val="005845D3"/>
    <w:rsid w:val="005865C9"/>
    <w:rsid w:val="005872F0"/>
    <w:rsid w:val="00590CF6"/>
    <w:rsid w:val="00592791"/>
    <w:rsid w:val="00593965"/>
    <w:rsid w:val="00596447"/>
    <w:rsid w:val="005969C8"/>
    <w:rsid w:val="00596BF3"/>
    <w:rsid w:val="00596E8E"/>
    <w:rsid w:val="00597D3C"/>
    <w:rsid w:val="005A16AB"/>
    <w:rsid w:val="005A2788"/>
    <w:rsid w:val="005A2D99"/>
    <w:rsid w:val="005A38CF"/>
    <w:rsid w:val="005A673B"/>
    <w:rsid w:val="005B1FA2"/>
    <w:rsid w:val="005B3642"/>
    <w:rsid w:val="005B4FDD"/>
    <w:rsid w:val="005B55F2"/>
    <w:rsid w:val="005B5FE6"/>
    <w:rsid w:val="005B6604"/>
    <w:rsid w:val="005B7A86"/>
    <w:rsid w:val="005B7BED"/>
    <w:rsid w:val="005C31D0"/>
    <w:rsid w:val="005C4363"/>
    <w:rsid w:val="005C6C59"/>
    <w:rsid w:val="005C74F7"/>
    <w:rsid w:val="005C75F8"/>
    <w:rsid w:val="005D0D8D"/>
    <w:rsid w:val="005D1585"/>
    <w:rsid w:val="005D271E"/>
    <w:rsid w:val="005D2C44"/>
    <w:rsid w:val="005D3158"/>
    <w:rsid w:val="005D3586"/>
    <w:rsid w:val="005D61FC"/>
    <w:rsid w:val="005D6A71"/>
    <w:rsid w:val="005D6AC4"/>
    <w:rsid w:val="005E1BFD"/>
    <w:rsid w:val="005E2394"/>
    <w:rsid w:val="005E29AC"/>
    <w:rsid w:val="005E3DFA"/>
    <w:rsid w:val="005E5218"/>
    <w:rsid w:val="005E7756"/>
    <w:rsid w:val="005F1305"/>
    <w:rsid w:val="005F156A"/>
    <w:rsid w:val="005F176F"/>
    <w:rsid w:val="005F1DDF"/>
    <w:rsid w:val="005F35B0"/>
    <w:rsid w:val="005F35E1"/>
    <w:rsid w:val="005F3E1F"/>
    <w:rsid w:val="005F5289"/>
    <w:rsid w:val="0060048E"/>
    <w:rsid w:val="006052DC"/>
    <w:rsid w:val="00606756"/>
    <w:rsid w:val="00610398"/>
    <w:rsid w:val="00610A23"/>
    <w:rsid w:val="00612AD7"/>
    <w:rsid w:val="006135CA"/>
    <w:rsid w:val="006135E7"/>
    <w:rsid w:val="00621FF2"/>
    <w:rsid w:val="0062354D"/>
    <w:rsid w:val="006237EF"/>
    <w:rsid w:val="00625166"/>
    <w:rsid w:val="006255D2"/>
    <w:rsid w:val="006302FF"/>
    <w:rsid w:val="00630EBD"/>
    <w:rsid w:val="00631C8F"/>
    <w:rsid w:val="00632CD1"/>
    <w:rsid w:val="006344FA"/>
    <w:rsid w:val="00635493"/>
    <w:rsid w:val="0063654F"/>
    <w:rsid w:val="0063733F"/>
    <w:rsid w:val="0064013A"/>
    <w:rsid w:val="0064072B"/>
    <w:rsid w:val="00641DCD"/>
    <w:rsid w:val="0064235A"/>
    <w:rsid w:val="0064760E"/>
    <w:rsid w:val="00651580"/>
    <w:rsid w:val="006530DF"/>
    <w:rsid w:val="006535D6"/>
    <w:rsid w:val="006549EC"/>
    <w:rsid w:val="00657B05"/>
    <w:rsid w:val="006610E5"/>
    <w:rsid w:val="006636F7"/>
    <w:rsid w:val="0066383A"/>
    <w:rsid w:val="00664E01"/>
    <w:rsid w:val="00670E13"/>
    <w:rsid w:val="00671625"/>
    <w:rsid w:val="00674245"/>
    <w:rsid w:val="006744D8"/>
    <w:rsid w:val="00675F4A"/>
    <w:rsid w:val="0067625B"/>
    <w:rsid w:val="00676B88"/>
    <w:rsid w:val="00676E3C"/>
    <w:rsid w:val="00676E69"/>
    <w:rsid w:val="006774A2"/>
    <w:rsid w:val="00677A07"/>
    <w:rsid w:val="00677BA9"/>
    <w:rsid w:val="00677C6E"/>
    <w:rsid w:val="00680A44"/>
    <w:rsid w:val="00681253"/>
    <w:rsid w:val="0068166D"/>
    <w:rsid w:val="00681EB7"/>
    <w:rsid w:val="0068728E"/>
    <w:rsid w:val="00687F11"/>
    <w:rsid w:val="00687F6B"/>
    <w:rsid w:val="006916B0"/>
    <w:rsid w:val="0069175E"/>
    <w:rsid w:val="00693904"/>
    <w:rsid w:val="006945A0"/>
    <w:rsid w:val="00694E25"/>
    <w:rsid w:val="00697CCA"/>
    <w:rsid w:val="006A05AD"/>
    <w:rsid w:val="006A4471"/>
    <w:rsid w:val="006A5CD7"/>
    <w:rsid w:val="006A5FB3"/>
    <w:rsid w:val="006A6CD2"/>
    <w:rsid w:val="006B0267"/>
    <w:rsid w:val="006B1D46"/>
    <w:rsid w:val="006B3761"/>
    <w:rsid w:val="006B6864"/>
    <w:rsid w:val="006B7F42"/>
    <w:rsid w:val="006C008D"/>
    <w:rsid w:val="006C100E"/>
    <w:rsid w:val="006C16AE"/>
    <w:rsid w:val="006C4948"/>
    <w:rsid w:val="006C4F4A"/>
    <w:rsid w:val="006C5602"/>
    <w:rsid w:val="006D2067"/>
    <w:rsid w:val="006D34FB"/>
    <w:rsid w:val="006D47AA"/>
    <w:rsid w:val="006D5255"/>
    <w:rsid w:val="006D5ABF"/>
    <w:rsid w:val="006D5E60"/>
    <w:rsid w:val="006D6781"/>
    <w:rsid w:val="006D6E38"/>
    <w:rsid w:val="006D7012"/>
    <w:rsid w:val="006E3B4B"/>
    <w:rsid w:val="006E3C7C"/>
    <w:rsid w:val="006E41B0"/>
    <w:rsid w:val="006F0526"/>
    <w:rsid w:val="006F18BC"/>
    <w:rsid w:val="006F2604"/>
    <w:rsid w:val="006F2EA4"/>
    <w:rsid w:val="006F3B77"/>
    <w:rsid w:val="006F3ED6"/>
    <w:rsid w:val="006F4C7C"/>
    <w:rsid w:val="006F7990"/>
    <w:rsid w:val="007031C6"/>
    <w:rsid w:val="0070406B"/>
    <w:rsid w:val="00704243"/>
    <w:rsid w:val="007051D9"/>
    <w:rsid w:val="0071285C"/>
    <w:rsid w:val="00712A3D"/>
    <w:rsid w:val="00714065"/>
    <w:rsid w:val="00714E0D"/>
    <w:rsid w:val="007169EF"/>
    <w:rsid w:val="00717733"/>
    <w:rsid w:val="007208D8"/>
    <w:rsid w:val="00723788"/>
    <w:rsid w:val="00726E93"/>
    <w:rsid w:val="00727EDB"/>
    <w:rsid w:val="00734EAB"/>
    <w:rsid w:val="00740BB5"/>
    <w:rsid w:val="007425B8"/>
    <w:rsid w:val="00742A33"/>
    <w:rsid w:val="0074309F"/>
    <w:rsid w:val="00744025"/>
    <w:rsid w:val="007444E0"/>
    <w:rsid w:val="0074560F"/>
    <w:rsid w:val="007465F5"/>
    <w:rsid w:val="0074761D"/>
    <w:rsid w:val="00747636"/>
    <w:rsid w:val="007479ED"/>
    <w:rsid w:val="0075036E"/>
    <w:rsid w:val="00752634"/>
    <w:rsid w:val="0075303D"/>
    <w:rsid w:val="00754EFC"/>
    <w:rsid w:val="00756433"/>
    <w:rsid w:val="00761766"/>
    <w:rsid w:val="0076264D"/>
    <w:rsid w:val="0076424D"/>
    <w:rsid w:val="00764A94"/>
    <w:rsid w:val="00764BD4"/>
    <w:rsid w:val="007652DB"/>
    <w:rsid w:val="00767316"/>
    <w:rsid w:val="0076797D"/>
    <w:rsid w:val="00771A3F"/>
    <w:rsid w:val="00771E84"/>
    <w:rsid w:val="00772594"/>
    <w:rsid w:val="00773898"/>
    <w:rsid w:val="0077469A"/>
    <w:rsid w:val="00775491"/>
    <w:rsid w:val="00775499"/>
    <w:rsid w:val="00775734"/>
    <w:rsid w:val="00776293"/>
    <w:rsid w:val="007806BA"/>
    <w:rsid w:val="00780A1D"/>
    <w:rsid w:val="0078377B"/>
    <w:rsid w:val="00784BCF"/>
    <w:rsid w:val="0079027D"/>
    <w:rsid w:val="00790782"/>
    <w:rsid w:val="00790C03"/>
    <w:rsid w:val="00790C68"/>
    <w:rsid w:val="00792D0E"/>
    <w:rsid w:val="007953F1"/>
    <w:rsid w:val="007960EB"/>
    <w:rsid w:val="007A3F54"/>
    <w:rsid w:val="007A494C"/>
    <w:rsid w:val="007A6736"/>
    <w:rsid w:val="007B2E63"/>
    <w:rsid w:val="007B31BF"/>
    <w:rsid w:val="007B37A7"/>
    <w:rsid w:val="007B3FE6"/>
    <w:rsid w:val="007B4C9A"/>
    <w:rsid w:val="007B4EBB"/>
    <w:rsid w:val="007B4F2F"/>
    <w:rsid w:val="007C220B"/>
    <w:rsid w:val="007C2A67"/>
    <w:rsid w:val="007C3B68"/>
    <w:rsid w:val="007C401D"/>
    <w:rsid w:val="007C4092"/>
    <w:rsid w:val="007C59D1"/>
    <w:rsid w:val="007C692B"/>
    <w:rsid w:val="007C7B68"/>
    <w:rsid w:val="007C7F4E"/>
    <w:rsid w:val="007D1B22"/>
    <w:rsid w:val="007D3478"/>
    <w:rsid w:val="007D4AB2"/>
    <w:rsid w:val="007D5FA6"/>
    <w:rsid w:val="007D6CB5"/>
    <w:rsid w:val="007D6DF6"/>
    <w:rsid w:val="007D7806"/>
    <w:rsid w:val="007E3459"/>
    <w:rsid w:val="007E3769"/>
    <w:rsid w:val="007E38B7"/>
    <w:rsid w:val="007E39BA"/>
    <w:rsid w:val="007E6A60"/>
    <w:rsid w:val="007E7DCA"/>
    <w:rsid w:val="007F1588"/>
    <w:rsid w:val="007F30AF"/>
    <w:rsid w:val="007F33B2"/>
    <w:rsid w:val="007F438F"/>
    <w:rsid w:val="007F5318"/>
    <w:rsid w:val="007F5B26"/>
    <w:rsid w:val="007F7BD8"/>
    <w:rsid w:val="00804C44"/>
    <w:rsid w:val="008067F2"/>
    <w:rsid w:val="00810CA3"/>
    <w:rsid w:val="008117A9"/>
    <w:rsid w:val="00813058"/>
    <w:rsid w:val="00813B50"/>
    <w:rsid w:val="008142AB"/>
    <w:rsid w:val="008144C9"/>
    <w:rsid w:val="00820422"/>
    <w:rsid w:val="0082142B"/>
    <w:rsid w:val="00821B3F"/>
    <w:rsid w:val="00822BE7"/>
    <w:rsid w:val="00822CC9"/>
    <w:rsid w:val="00823DF0"/>
    <w:rsid w:val="00824432"/>
    <w:rsid w:val="00825E0B"/>
    <w:rsid w:val="00826FA3"/>
    <w:rsid w:val="008278E2"/>
    <w:rsid w:val="00827DE4"/>
    <w:rsid w:val="00833255"/>
    <w:rsid w:val="00837EC3"/>
    <w:rsid w:val="008400D7"/>
    <w:rsid w:val="008415D7"/>
    <w:rsid w:val="00842BC4"/>
    <w:rsid w:val="008440BD"/>
    <w:rsid w:val="008449F1"/>
    <w:rsid w:val="00844F74"/>
    <w:rsid w:val="00846561"/>
    <w:rsid w:val="00851323"/>
    <w:rsid w:val="00851455"/>
    <w:rsid w:val="00851FCB"/>
    <w:rsid w:val="00852644"/>
    <w:rsid w:val="00852B02"/>
    <w:rsid w:val="00854BB5"/>
    <w:rsid w:val="008602D2"/>
    <w:rsid w:val="0086266C"/>
    <w:rsid w:val="008631CA"/>
    <w:rsid w:val="0087097A"/>
    <w:rsid w:val="00871874"/>
    <w:rsid w:val="0087285D"/>
    <w:rsid w:val="00874EC1"/>
    <w:rsid w:val="00875C90"/>
    <w:rsid w:val="0087798E"/>
    <w:rsid w:val="00877E37"/>
    <w:rsid w:val="00886725"/>
    <w:rsid w:val="00890211"/>
    <w:rsid w:val="008921CD"/>
    <w:rsid w:val="008930CE"/>
    <w:rsid w:val="008936B1"/>
    <w:rsid w:val="0089581A"/>
    <w:rsid w:val="008A1EA5"/>
    <w:rsid w:val="008A4C89"/>
    <w:rsid w:val="008A563A"/>
    <w:rsid w:val="008A6EB8"/>
    <w:rsid w:val="008A7970"/>
    <w:rsid w:val="008B034A"/>
    <w:rsid w:val="008B1365"/>
    <w:rsid w:val="008B16FD"/>
    <w:rsid w:val="008B1727"/>
    <w:rsid w:val="008B2F47"/>
    <w:rsid w:val="008B4D3C"/>
    <w:rsid w:val="008B5C02"/>
    <w:rsid w:val="008C03C1"/>
    <w:rsid w:val="008C40E2"/>
    <w:rsid w:val="008C4991"/>
    <w:rsid w:val="008C55A0"/>
    <w:rsid w:val="008D00F6"/>
    <w:rsid w:val="008D1C37"/>
    <w:rsid w:val="008D2906"/>
    <w:rsid w:val="008D2964"/>
    <w:rsid w:val="008D5287"/>
    <w:rsid w:val="008D5F57"/>
    <w:rsid w:val="008D6CF1"/>
    <w:rsid w:val="008D6D6D"/>
    <w:rsid w:val="008E24F1"/>
    <w:rsid w:val="008E5341"/>
    <w:rsid w:val="008E5A61"/>
    <w:rsid w:val="008E794C"/>
    <w:rsid w:val="008F2DD0"/>
    <w:rsid w:val="00902600"/>
    <w:rsid w:val="009032C1"/>
    <w:rsid w:val="009056DB"/>
    <w:rsid w:val="00905D09"/>
    <w:rsid w:val="009074E5"/>
    <w:rsid w:val="00910365"/>
    <w:rsid w:val="00910561"/>
    <w:rsid w:val="00911066"/>
    <w:rsid w:val="00911789"/>
    <w:rsid w:val="00912B5B"/>
    <w:rsid w:val="00913FD0"/>
    <w:rsid w:val="0091622D"/>
    <w:rsid w:val="00921157"/>
    <w:rsid w:val="009220AF"/>
    <w:rsid w:val="009224FC"/>
    <w:rsid w:val="009225C4"/>
    <w:rsid w:val="00923AB6"/>
    <w:rsid w:val="009243BA"/>
    <w:rsid w:val="0092446B"/>
    <w:rsid w:val="00925110"/>
    <w:rsid w:val="009273AA"/>
    <w:rsid w:val="009317E3"/>
    <w:rsid w:val="0093331C"/>
    <w:rsid w:val="0093367A"/>
    <w:rsid w:val="009339B9"/>
    <w:rsid w:val="009343B7"/>
    <w:rsid w:val="00934DF4"/>
    <w:rsid w:val="00936310"/>
    <w:rsid w:val="0094230C"/>
    <w:rsid w:val="00944F7C"/>
    <w:rsid w:val="009450D3"/>
    <w:rsid w:val="0094580F"/>
    <w:rsid w:val="00947402"/>
    <w:rsid w:val="00951C46"/>
    <w:rsid w:val="00952A1D"/>
    <w:rsid w:val="00952A89"/>
    <w:rsid w:val="009536B0"/>
    <w:rsid w:val="00953C04"/>
    <w:rsid w:val="00953E12"/>
    <w:rsid w:val="009546E4"/>
    <w:rsid w:val="00954829"/>
    <w:rsid w:val="00955337"/>
    <w:rsid w:val="0095577D"/>
    <w:rsid w:val="0095751F"/>
    <w:rsid w:val="00961381"/>
    <w:rsid w:val="0096176B"/>
    <w:rsid w:val="00961A5F"/>
    <w:rsid w:val="00961B49"/>
    <w:rsid w:val="009626AD"/>
    <w:rsid w:val="00963F19"/>
    <w:rsid w:val="009648FC"/>
    <w:rsid w:val="00965055"/>
    <w:rsid w:val="009659E7"/>
    <w:rsid w:val="00967616"/>
    <w:rsid w:val="00970092"/>
    <w:rsid w:val="009714FC"/>
    <w:rsid w:val="00971763"/>
    <w:rsid w:val="00972575"/>
    <w:rsid w:val="00972BEA"/>
    <w:rsid w:val="00975A7B"/>
    <w:rsid w:val="0097658B"/>
    <w:rsid w:val="0097776C"/>
    <w:rsid w:val="009810C8"/>
    <w:rsid w:val="00981E8E"/>
    <w:rsid w:val="00984C87"/>
    <w:rsid w:val="00985DCC"/>
    <w:rsid w:val="00986D1E"/>
    <w:rsid w:val="00987DF4"/>
    <w:rsid w:val="009930BC"/>
    <w:rsid w:val="0099355E"/>
    <w:rsid w:val="00994E3E"/>
    <w:rsid w:val="00994F10"/>
    <w:rsid w:val="009A031F"/>
    <w:rsid w:val="009A210F"/>
    <w:rsid w:val="009A251D"/>
    <w:rsid w:val="009A26EA"/>
    <w:rsid w:val="009A332A"/>
    <w:rsid w:val="009A3D76"/>
    <w:rsid w:val="009A6271"/>
    <w:rsid w:val="009A6834"/>
    <w:rsid w:val="009B0311"/>
    <w:rsid w:val="009B0FA4"/>
    <w:rsid w:val="009B1F2F"/>
    <w:rsid w:val="009B1F5E"/>
    <w:rsid w:val="009B2575"/>
    <w:rsid w:val="009B56DB"/>
    <w:rsid w:val="009B5D2C"/>
    <w:rsid w:val="009B6414"/>
    <w:rsid w:val="009C26B7"/>
    <w:rsid w:val="009C31A4"/>
    <w:rsid w:val="009C421F"/>
    <w:rsid w:val="009C4E82"/>
    <w:rsid w:val="009C5586"/>
    <w:rsid w:val="009C58B8"/>
    <w:rsid w:val="009C5FF3"/>
    <w:rsid w:val="009C6C11"/>
    <w:rsid w:val="009D022F"/>
    <w:rsid w:val="009D12F6"/>
    <w:rsid w:val="009D2584"/>
    <w:rsid w:val="009D334E"/>
    <w:rsid w:val="009D3768"/>
    <w:rsid w:val="009D3E01"/>
    <w:rsid w:val="009D4350"/>
    <w:rsid w:val="009D7195"/>
    <w:rsid w:val="009D7513"/>
    <w:rsid w:val="009D7550"/>
    <w:rsid w:val="009E0865"/>
    <w:rsid w:val="009E22D6"/>
    <w:rsid w:val="009E2403"/>
    <w:rsid w:val="009E24DA"/>
    <w:rsid w:val="009E30E8"/>
    <w:rsid w:val="009E5BEC"/>
    <w:rsid w:val="009F0F23"/>
    <w:rsid w:val="009F261D"/>
    <w:rsid w:val="009F397C"/>
    <w:rsid w:val="009F3AF6"/>
    <w:rsid w:val="009F3B63"/>
    <w:rsid w:val="009F4426"/>
    <w:rsid w:val="009F509B"/>
    <w:rsid w:val="009F54A5"/>
    <w:rsid w:val="009F6367"/>
    <w:rsid w:val="00A02C8B"/>
    <w:rsid w:val="00A02DEC"/>
    <w:rsid w:val="00A0337B"/>
    <w:rsid w:val="00A048D7"/>
    <w:rsid w:val="00A07FB2"/>
    <w:rsid w:val="00A109DC"/>
    <w:rsid w:val="00A120DA"/>
    <w:rsid w:val="00A1547C"/>
    <w:rsid w:val="00A17BAC"/>
    <w:rsid w:val="00A21AF5"/>
    <w:rsid w:val="00A21E20"/>
    <w:rsid w:val="00A2260D"/>
    <w:rsid w:val="00A22F32"/>
    <w:rsid w:val="00A25189"/>
    <w:rsid w:val="00A25B0E"/>
    <w:rsid w:val="00A26A0F"/>
    <w:rsid w:val="00A26F88"/>
    <w:rsid w:val="00A277E1"/>
    <w:rsid w:val="00A3013C"/>
    <w:rsid w:val="00A30454"/>
    <w:rsid w:val="00A30B8D"/>
    <w:rsid w:val="00A33D42"/>
    <w:rsid w:val="00A35EF6"/>
    <w:rsid w:val="00A37068"/>
    <w:rsid w:val="00A41C6B"/>
    <w:rsid w:val="00A449E3"/>
    <w:rsid w:val="00A450EE"/>
    <w:rsid w:val="00A4518F"/>
    <w:rsid w:val="00A52037"/>
    <w:rsid w:val="00A52189"/>
    <w:rsid w:val="00A522A3"/>
    <w:rsid w:val="00A52F99"/>
    <w:rsid w:val="00A55549"/>
    <w:rsid w:val="00A5589B"/>
    <w:rsid w:val="00A55D8B"/>
    <w:rsid w:val="00A56099"/>
    <w:rsid w:val="00A565A7"/>
    <w:rsid w:val="00A60C6F"/>
    <w:rsid w:val="00A612E4"/>
    <w:rsid w:val="00A61C35"/>
    <w:rsid w:val="00A62BDA"/>
    <w:rsid w:val="00A63AEB"/>
    <w:rsid w:val="00A63B47"/>
    <w:rsid w:val="00A63B7B"/>
    <w:rsid w:val="00A641E8"/>
    <w:rsid w:val="00A64EAE"/>
    <w:rsid w:val="00A651F8"/>
    <w:rsid w:val="00A65FB2"/>
    <w:rsid w:val="00A71E00"/>
    <w:rsid w:val="00A72842"/>
    <w:rsid w:val="00A73D43"/>
    <w:rsid w:val="00A75AAC"/>
    <w:rsid w:val="00A7795A"/>
    <w:rsid w:val="00A80268"/>
    <w:rsid w:val="00A81AF8"/>
    <w:rsid w:val="00A8247A"/>
    <w:rsid w:val="00A83F96"/>
    <w:rsid w:val="00A84EFE"/>
    <w:rsid w:val="00A8687A"/>
    <w:rsid w:val="00A9054E"/>
    <w:rsid w:val="00A9073B"/>
    <w:rsid w:val="00A90D50"/>
    <w:rsid w:val="00A91532"/>
    <w:rsid w:val="00A91CE9"/>
    <w:rsid w:val="00A9367F"/>
    <w:rsid w:val="00A94EE8"/>
    <w:rsid w:val="00A953CA"/>
    <w:rsid w:val="00A96D92"/>
    <w:rsid w:val="00A97DF6"/>
    <w:rsid w:val="00A97E91"/>
    <w:rsid w:val="00AA2950"/>
    <w:rsid w:val="00AA2DBF"/>
    <w:rsid w:val="00AA2FBE"/>
    <w:rsid w:val="00AA3CA7"/>
    <w:rsid w:val="00AA3DAB"/>
    <w:rsid w:val="00AA6230"/>
    <w:rsid w:val="00AB12A6"/>
    <w:rsid w:val="00AB137C"/>
    <w:rsid w:val="00AB41B4"/>
    <w:rsid w:val="00AB55B0"/>
    <w:rsid w:val="00AB582E"/>
    <w:rsid w:val="00AC156B"/>
    <w:rsid w:val="00AC1D16"/>
    <w:rsid w:val="00AC1EB8"/>
    <w:rsid w:val="00AC520E"/>
    <w:rsid w:val="00AC6779"/>
    <w:rsid w:val="00AC6CFA"/>
    <w:rsid w:val="00AD0C5F"/>
    <w:rsid w:val="00AD0CE6"/>
    <w:rsid w:val="00AD2185"/>
    <w:rsid w:val="00AD4664"/>
    <w:rsid w:val="00AD60ED"/>
    <w:rsid w:val="00AE141B"/>
    <w:rsid w:val="00AE2470"/>
    <w:rsid w:val="00AE3081"/>
    <w:rsid w:val="00AE6D47"/>
    <w:rsid w:val="00AE7F8B"/>
    <w:rsid w:val="00AF0D94"/>
    <w:rsid w:val="00AF2859"/>
    <w:rsid w:val="00AF3016"/>
    <w:rsid w:val="00AF30CB"/>
    <w:rsid w:val="00AF5721"/>
    <w:rsid w:val="00AF6A5B"/>
    <w:rsid w:val="00AF6CCB"/>
    <w:rsid w:val="00B00BE1"/>
    <w:rsid w:val="00B043A7"/>
    <w:rsid w:val="00B04AD6"/>
    <w:rsid w:val="00B056CF"/>
    <w:rsid w:val="00B05B08"/>
    <w:rsid w:val="00B060C9"/>
    <w:rsid w:val="00B10431"/>
    <w:rsid w:val="00B10AFB"/>
    <w:rsid w:val="00B10BF4"/>
    <w:rsid w:val="00B10D1F"/>
    <w:rsid w:val="00B1255E"/>
    <w:rsid w:val="00B1528E"/>
    <w:rsid w:val="00B15979"/>
    <w:rsid w:val="00B16D57"/>
    <w:rsid w:val="00B20C6F"/>
    <w:rsid w:val="00B24E92"/>
    <w:rsid w:val="00B25359"/>
    <w:rsid w:val="00B30783"/>
    <w:rsid w:val="00B33AB1"/>
    <w:rsid w:val="00B346E6"/>
    <w:rsid w:val="00B367B9"/>
    <w:rsid w:val="00B405A1"/>
    <w:rsid w:val="00B41700"/>
    <w:rsid w:val="00B42CAA"/>
    <w:rsid w:val="00B46752"/>
    <w:rsid w:val="00B46BDC"/>
    <w:rsid w:val="00B4772D"/>
    <w:rsid w:val="00B47BF6"/>
    <w:rsid w:val="00B51112"/>
    <w:rsid w:val="00B54E6B"/>
    <w:rsid w:val="00B5522B"/>
    <w:rsid w:val="00B55A36"/>
    <w:rsid w:val="00B56ADC"/>
    <w:rsid w:val="00B612EC"/>
    <w:rsid w:val="00B6270B"/>
    <w:rsid w:val="00B65689"/>
    <w:rsid w:val="00B71B84"/>
    <w:rsid w:val="00B72D69"/>
    <w:rsid w:val="00B73DA0"/>
    <w:rsid w:val="00B7405C"/>
    <w:rsid w:val="00B74DA7"/>
    <w:rsid w:val="00B755A0"/>
    <w:rsid w:val="00B776E4"/>
    <w:rsid w:val="00B83509"/>
    <w:rsid w:val="00B87DB8"/>
    <w:rsid w:val="00B87F80"/>
    <w:rsid w:val="00B90333"/>
    <w:rsid w:val="00B905C8"/>
    <w:rsid w:val="00B91A75"/>
    <w:rsid w:val="00B91A9D"/>
    <w:rsid w:val="00B9238B"/>
    <w:rsid w:val="00B92D4A"/>
    <w:rsid w:val="00B95301"/>
    <w:rsid w:val="00B96035"/>
    <w:rsid w:val="00BA01E0"/>
    <w:rsid w:val="00BA7D3E"/>
    <w:rsid w:val="00BA7DE1"/>
    <w:rsid w:val="00BB0C29"/>
    <w:rsid w:val="00BB1A82"/>
    <w:rsid w:val="00BB1B30"/>
    <w:rsid w:val="00BB1B71"/>
    <w:rsid w:val="00BB2567"/>
    <w:rsid w:val="00BB5628"/>
    <w:rsid w:val="00BB5C1E"/>
    <w:rsid w:val="00BC11C0"/>
    <w:rsid w:val="00BC25B9"/>
    <w:rsid w:val="00BC3C24"/>
    <w:rsid w:val="00BC5D74"/>
    <w:rsid w:val="00BC7FDF"/>
    <w:rsid w:val="00BD1E74"/>
    <w:rsid w:val="00BE0377"/>
    <w:rsid w:val="00BE1AC7"/>
    <w:rsid w:val="00BE1C22"/>
    <w:rsid w:val="00BE29CF"/>
    <w:rsid w:val="00BE5A49"/>
    <w:rsid w:val="00BE5E65"/>
    <w:rsid w:val="00BE67C9"/>
    <w:rsid w:val="00BE6ABD"/>
    <w:rsid w:val="00BE7D31"/>
    <w:rsid w:val="00BE7FBD"/>
    <w:rsid w:val="00BF0FA0"/>
    <w:rsid w:val="00BF1CDF"/>
    <w:rsid w:val="00BF2AE0"/>
    <w:rsid w:val="00BF3185"/>
    <w:rsid w:val="00BF4803"/>
    <w:rsid w:val="00BF78B9"/>
    <w:rsid w:val="00C05AD5"/>
    <w:rsid w:val="00C069C7"/>
    <w:rsid w:val="00C06EAB"/>
    <w:rsid w:val="00C074EB"/>
    <w:rsid w:val="00C10001"/>
    <w:rsid w:val="00C10C42"/>
    <w:rsid w:val="00C12121"/>
    <w:rsid w:val="00C129EB"/>
    <w:rsid w:val="00C131F8"/>
    <w:rsid w:val="00C154AC"/>
    <w:rsid w:val="00C1591A"/>
    <w:rsid w:val="00C179E4"/>
    <w:rsid w:val="00C17B23"/>
    <w:rsid w:val="00C2100F"/>
    <w:rsid w:val="00C21805"/>
    <w:rsid w:val="00C22A0C"/>
    <w:rsid w:val="00C2506F"/>
    <w:rsid w:val="00C25320"/>
    <w:rsid w:val="00C27AC3"/>
    <w:rsid w:val="00C27B27"/>
    <w:rsid w:val="00C306EC"/>
    <w:rsid w:val="00C3191F"/>
    <w:rsid w:val="00C33DC4"/>
    <w:rsid w:val="00C33EFE"/>
    <w:rsid w:val="00C40F94"/>
    <w:rsid w:val="00C41665"/>
    <w:rsid w:val="00C422E9"/>
    <w:rsid w:val="00C43ECD"/>
    <w:rsid w:val="00C46C52"/>
    <w:rsid w:val="00C4700E"/>
    <w:rsid w:val="00C4769C"/>
    <w:rsid w:val="00C47F90"/>
    <w:rsid w:val="00C5323A"/>
    <w:rsid w:val="00C54EF4"/>
    <w:rsid w:val="00C55BAD"/>
    <w:rsid w:val="00C56584"/>
    <w:rsid w:val="00C56EE3"/>
    <w:rsid w:val="00C57CF6"/>
    <w:rsid w:val="00C600A8"/>
    <w:rsid w:val="00C60488"/>
    <w:rsid w:val="00C62CDE"/>
    <w:rsid w:val="00C646A5"/>
    <w:rsid w:val="00C71343"/>
    <w:rsid w:val="00C7434D"/>
    <w:rsid w:val="00C751F7"/>
    <w:rsid w:val="00C77D5A"/>
    <w:rsid w:val="00C80A1B"/>
    <w:rsid w:val="00C80EFF"/>
    <w:rsid w:val="00C82D05"/>
    <w:rsid w:val="00C843A0"/>
    <w:rsid w:val="00C84591"/>
    <w:rsid w:val="00C84B34"/>
    <w:rsid w:val="00C85463"/>
    <w:rsid w:val="00C90E67"/>
    <w:rsid w:val="00C92034"/>
    <w:rsid w:val="00C93E22"/>
    <w:rsid w:val="00C94DEB"/>
    <w:rsid w:val="00C95FDC"/>
    <w:rsid w:val="00CA0628"/>
    <w:rsid w:val="00CA115F"/>
    <w:rsid w:val="00CA43F6"/>
    <w:rsid w:val="00CA4EDC"/>
    <w:rsid w:val="00CA66A0"/>
    <w:rsid w:val="00CA7584"/>
    <w:rsid w:val="00CA772D"/>
    <w:rsid w:val="00CA7794"/>
    <w:rsid w:val="00CB25CE"/>
    <w:rsid w:val="00CB4C26"/>
    <w:rsid w:val="00CB5A5E"/>
    <w:rsid w:val="00CB5C29"/>
    <w:rsid w:val="00CC278D"/>
    <w:rsid w:val="00CC2A28"/>
    <w:rsid w:val="00CC4F88"/>
    <w:rsid w:val="00CC53D8"/>
    <w:rsid w:val="00CC6060"/>
    <w:rsid w:val="00CC66A9"/>
    <w:rsid w:val="00CD02D0"/>
    <w:rsid w:val="00CD1D65"/>
    <w:rsid w:val="00CD2A06"/>
    <w:rsid w:val="00CD3FB7"/>
    <w:rsid w:val="00CD5938"/>
    <w:rsid w:val="00CD6AAC"/>
    <w:rsid w:val="00CD7F28"/>
    <w:rsid w:val="00CE2E91"/>
    <w:rsid w:val="00CE3F09"/>
    <w:rsid w:val="00CE3F9F"/>
    <w:rsid w:val="00CE4C95"/>
    <w:rsid w:val="00CE4DEF"/>
    <w:rsid w:val="00CE5F0D"/>
    <w:rsid w:val="00CE65E5"/>
    <w:rsid w:val="00CF18D9"/>
    <w:rsid w:val="00CF1A7D"/>
    <w:rsid w:val="00CF36AF"/>
    <w:rsid w:val="00CF396A"/>
    <w:rsid w:val="00CF39EE"/>
    <w:rsid w:val="00CF4ED5"/>
    <w:rsid w:val="00CF4F32"/>
    <w:rsid w:val="00CF5333"/>
    <w:rsid w:val="00CF76F5"/>
    <w:rsid w:val="00D00F26"/>
    <w:rsid w:val="00D10AF2"/>
    <w:rsid w:val="00D11AC8"/>
    <w:rsid w:val="00D1203E"/>
    <w:rsid w:val="00D13E1C"/>
    <w:rsid w:val="00D15167"/>
    <w:rsid w:val="00D16F12"/>
    <w:rsid w:val="00D20D7D"/>
    <w:rsid w:val="00D211CD"/>
    <w:rsid w:val="00D21FEF"/>
    <w:rsid w:val="00D230B6"/>
    <w:rsid w:val="00D23E81"/>
    <w:rsid w:val="00D23FBC"/>
    <w:rsid w:val="00D250C0"/>
    <w:rsid w:val="00D2513F"/>
    <w:rsid w:val="00D25552"/>
    <w:rsid w:val="00D257FC"/>
    <w:rsid w:val="00D26ACF"/>
    <w:rsid w:val="00D2718B"/>
    <w:rsid w:val="00D27779"/>
    <w:rsid w:val="00D309AA"/>
    <w:rsid w:val="00D324E9"/>
    <w:rsid w:val="00D3415C"/>
    <w:rsid w:val="00D359D0"/>
    <w:rsid w:val="00D36F9A"/>
    <w:rsid w:val="00D36FB5"/>
    <w:rsid w:val="00D43DD3"/>
    <w:rsid w:val="00D4513F"/>
    <w:rsid w:val="00D469FD"/>
    <w:rsid w:val="00D47B98"/>
    <w:rsid w:val="00D5068D"/>
    <w:rsid w:val="00D51C02"/>
    <w:rsid w:val="00D520DA"/>
    <w:rsid w:val="00D52689"/>
    <w:rsid w:val="00D54CE6"/>
    <w:rsid w:val="00D54ED3"/>
    <w:rsid w:val="00D556F4"/>
    <w:rsid w:val="00D5606E"/>
    <w:rsid w:val="00D56641"/>
    <w:rsid w:val="00D56DB8"/>
    <w:rsid w:val="00D607DC"/>
    <w:rsid w:val="00D62B7E"/>
    <w:rsid w:val="00D62CF1"/>
    <w:rsid w:val="00D62E3A"/>
    <w:rsid w:val="00D65685"/>
    <w:rsid w:val="00D66F65"/>
    <w:rsid w:val="00D72A8A"/>
    <w:rsid w:val="00D72BD0"/>
    <w:rsid w:val="00D73490"/>
    <w:rsid w:val="00D7440A"/>
    <w:rsid w:val="00D76291"/>
    <w:rsid w:val="00D767E3"/>
    <w:rsid w:val="00D76807"/>
    <w:rsid w:val="00D773F8"/>
    <w:rsid w:val="00D82443"/>
    <w:rsid w:val="00D8293A"/>
    <w:rsid w:val="00D84F02"/>
    <w:rsid w:val="00D90A6B"/>
    <w:rsid w:val="00D90D2E"/>
    <w:rsid w:val="00D92D7E"/>
    <w:rsid w:val="00D92FC7"/>
    <w:rsid w:val="00D94229"/>
    <w:rsid w:val="00D944F7"/>
    <w:rsid w:val="00D962FD"/>
    <w:rsid w:val="00DA0A2D"/>
    <w:rsid w:val="00DA1048"/>
    <w:rsid w:val="00DA2DCC"/>
    <w:rsid w:val="00DA51A6"/>
    <w:rsid w:val="00DA5BFE"/>
    <w:rsid w:val="00DA5F81"/>
    <w:rsid w:val="00DA7AF3"/>
    <w:rsid w:val="00DB016C"/>
    <w:rsid w:val="00DB1FFF"/>
    <w:rsid w:val="00DB2343"/>
    <w:rsid w:val="00DB2C2B"/>
    <w:rsid w:val="00DB301E"/>
    <w:rsid w:val="00DB3EF2"/>
    <w:rsid w:val="00DB47C7"/>
    <w:rsid w:val="00DB6D4C"/>
    <w:rsid w:val="00DB7C60"/>
    <w:rsid w:val="00DC0780"/>
    <w:rsid w:val="00DC0F8C"/>
    <w:rsid w:val="00DC268D"/>
    <w:rsid w:val="00DC5E1E"/>
    <w:rsid w:val="00DD4D0E"/>
    <w:rsid w:val="00DD56D6"/>
    <w:rsid w:val="00DD578B"/>
    <w:rsid w:val="00DD7110"/>
    <w:rsid w:val="00DD741A"/>
    <w:rsid w:val="00DE167E"/>
    <w:rsid w:val="00DE2358"/>
    <w:rsid w:val="00DE2F37"/>
    <w:rsid w:val="00DE37FE"/>
    <w:rsid w:val="00DE4779"/>
    <w:rsid w:val="00DE7DC6"/>
    <w:rsid w:val="00DF00EB"/>
    <w:rsid w:val="00DF1CD2"/>
    <w:rsid w:val="00DF1E68"/>
    <w:rsid w:val="00DF36CC"/>
    <w:rsid w:val="00DF39AD"/>
    <w:rsid w:val="00DF43B5"/>
    <w:rsid w:val="00DF49EA"/>
    <w:rsid w:val="00DF510E"/>
    <w:rsid w:val="00DF7ED1"/>
    <w:rsid w:val="00DF7EDF"/>
    <w:rsid w:val="00DF7EE7"/>
    <w:rsid w:val="00E00A95"/>
    <w:rsid w:val="00E00BF8"/>
    <w:rsid w:val="00E0176E"/>
    <w:rsid w:val="00E03253"/>
    <w:rsid w:val="00E03A62"/>
    <w:rsid w:val="00E03FD3"/>
    <w:rsid w:val="00E04AA1"/>
    <w:rsid w:val="00E05AC0"/>
    <w:rsid w:val="00E05B26"/>
    <w:rsid w:val="00E05B80"/>
    <w:rsid w:val="00E10B30"/>
    <w:rsid w:val="00E112F4"/>
    <w:rsid w:val="00E125FB"/>
    <w:rsid w:val="00E13021"/>
    <w:rsid w:val="00E154BA"/>
    <w:rsid w:val="00E169A2"/>
    <w:rsid w:val="00E21F57"/>
    <w:rsid w:val="00E22187"/>
    <w:rsid w:val="00E25C16"/>
    <w:rsid w:val="00E276D8"/>
    <w:rsid w:val="00E277DD"/>
    <w:rsid w:val="00E27C53"/>
    <w:rsid w:val="00E3108B"/>
    <w:rsid w:val="00E313C9"/>
    <w:rsid w:val="00E331AE"/>
    <w:rsid w:val="00E342B9"/>
    <w:rsid w:val="00E34B22"/>
    <w:rsid w:val="00E35F25"/>
    <w:rsid w:val="00E40638"/>
    <w:rsid w:val="00E41BA1"/>
    <w:rsid w:val="00E41D91"/>
    <w:rsid w:val="00E426ED"/>
    <w:rsid w:val="00E42735"/>
    <w:rsid w:val="00E42954"/>
    <w:rsid w:val="00E4448D"/>
    <w:rsid w:val="00E4452D"/>
    <w:rsid w:val="00E4669A"/>
    <w:rsid w:val="00E50DE4"/>
    <w:rsid w:val="00E50F62"/>
    <w:rsid w:val="00E51434"/>
    <w:rsid w:val="00E51887"/>
    <w:rsid w:val="00E52F8B"/>
    <w:rsid w:val="00E549CB"/>
    <w:rsid w:val="00E54A25"/>
    <w:rsid w:val="00E56383"/>
    <w:rsid w:val="00E57969"/>
    <w:rsid w:val="00E57DC0"/>
    <w:rsid w:val="00E57FF7"/>
    <w:rsid w:val="00E60B29"/>
    <w:rsid w:val="00E60F6D"/>
    <w:rsid w:val="00E62825"/>
    <w:rsid w:val="00E62915"/>
    <w:rsid w:val="00E63CF9"/>
    <w:rsid w:val="00E67663"/>
    <w:rsid w:val="00E72E93"/>
    <w:rsid w:val="00E731B2"/>
    <w:rsid w:val="00E74614"/>
    <w:rsid w:val="00E746F9"/>
    <w:rsid w:val="00E7500C"/>
    <w:rsid w:val="00E7673F"/>
    <w:rsid w:val="00E7681E"/>
    <w:rsid w:val="00E76A84"/>
    <w:rsid w:val="00E76E07"/>
    <w:rsid w:val="00E85FF2"/>
    <w:rsid w:val="00E8606F"/>
    <w:rsid w:val="00E914AD"/>
    <w:rsid w:val="00E91A15"/>
    <w:rsid w:val="00E92AC7"/>
    <w:rsid w:val="00E94EBB"/>
    <w:rsid w:val="00E95141"/>
    <w:rsid w:val="00E9687B"/>
    <w:rsid w:val="00EA075D"/>
    <w:rsid w:val="00EA0BBB"/>
    <w:rsid w:val="00EA0D52"/>
    <w:rsid w:val="00EA2BA8"/>
    <w:rsid w:val="00EA359D"/>
    <w:rsid w:val="00EA5037"/>
    <w:rsid w:val="00EB0130"/>
    <w:rsid w:val="00EB137D"/>
    <w:rsid w:val="00EB5D0B"/>
    <w:rsid w:val="00EB66B1"/>
    <w:rsid w:val="00EB6BDF"/>
    <w:rsid w:val="00EC1E3E"/>
    <w:rsid w:val="00EC2AC3"/>
    <w:rsid w:val="00EC3645"/>
    <w:rsid w:val="00EC71FD"/>
    <w:rsid w:val="00ED1E5A"/>
    <w:rsid w:val="00ED29A4"/>
    <w:rsid w:val="00ED3F9E"/>
    <w:rsid w:val="00ED66A4"/>
    <w:rsid w:val="00ED74B9"/>
    <w:rsid w:val="00EE05E5"/>
    <w:rsid w:val="00EE121E"/>
    <w:rsid w:val="00EE1C35"/>
    <w:rsid w:val="00EE4F9E"/>
    <w:rsid w:val="00EE58E3"/>
    <w:rsid w:val="00EF0FEE"/>
    <w:rsid w:val="00EF10BF"/>
    <w:rsid w:val="00EF4081"/>
    <w:rsid w:val="00EF4A29"/>
    <w:rsid w:val="00EF4A4C"/>
    <w:rsid w:val="00EF4B99"/>
    <w:rsid w:val="00EF57D4"/>
    <w:rsid w:val="00EF5E31"/>
    <w:rsid w:val="00F0370C"/>
    <w:rsid w:val="00F05847"/>
    <w:rsid w:val="00F05C2D"/>
    <w:rsid w:val="00F05C7B"/>
    <w:rsid w:val="00F05D57"/>
    <w:rsid w:val="00F110DC"/>
    <w:rsid w:val="00F12E42"/>
    <w:rsid w:val="00F13790"/>
    <w:rsid w:val="00F1444E"/>
    <w:rsid w:val="00F15404"/>
    <w:rsid w:val="00F15720"/>
    <w:rsid w:val="00F160E9"/>
    <w:rsid w:val="00F16C9D"/>
    <w:rsid w:val="00F1776C"/>
    <w:rsid w:val="00F22827"/>
    <w:rsid w:val="00F2353F"/>
    <w:rsid w:val="00F25E40"/>
    <w:rsid w:val="00F30B0C"/>
    <w:rsid w:val="00F3433C"/>
    <w:rsid w:val="00F36141"/>
    <w:rsid w:val="00F40FAB"/>
    <w:rsid w:val="00F41E9B"/>
    <w:rsid w:val="00F43DB5"/>
    <w:rsid w:val="00F53D69"/>
    <w:rsid w:val="00F55F6A"/>
    <w:rsid w:val="00F563AB"/>
    <w:rsid w:val="00F56BAA"/>
    <w:rsid w:val="00F61125"/>
    <w:rsid w:val="00F62775"/>
    <w:rsid w:val="00F66038"/>
    <w:rsid w:val="00F66516"/>
    <w:rsid w:val="00F7053E"/>
    <w:rsid w:val="00F72D72"/>
    <w:rsid w:val="00F76DCC"/>
    <w:rsid w:val="00F803B1"/>
    <w:rsid w:val="00F80FEB"/>
    <w:rsid w:val="00F84B08"/>
    <w:rsid w:val="00F863FD"/>
    <w:rsid w:val="00F90907"/>
    <w:rsid w:val="00F93377"/>
    <w:rsid w:val="00F94CD2"/>
    <w:rsid w:val="00FA09F1"/>
    <w:rsid w:val="00FA176D"/>
    <w:rsid w:val="00FA350E"/>
    <w:rsid w:val="00FA59B1"/>
    <w:rsid w:val="00FA6534"/>
    <w:rsid w:val="00FA73D9"/>
    <w:rsid w:val="00FA7A00"/>
    <w:rsid w:val="00FA7BA7"/>
    <w:rsid w:val="00FA7D9D"/>
    <w:rsid w:val="00FB08EC"/>
    <w:rsid w:val="00FB1156"/>
    <w:rsid w:val="00FB1C5C"/>
    <w:rsid w:val="00FB2FA0"/>
    <w:rsid w:val="00FB3833"/>
    <w:rsid w:val="00FB3CDB"/>
    <w:rsid w:val="00FB5B94"/>
    <w:rsid w:val="00FC0484"/>
    <w:rsid w:val="00FC18C4"/>
    <w:rsid w:val="00FC3484"/>
    <w:rsid w:val="00FC77B4"/>
    <w:rsid w:val="00FC7F8B"/>
    <w:rsid w:val="00FD0E30"/>
    <w:rsid w:val="00FD10D2"/>
    <w:rsid w:val="00FD1369"/>
    <w:rsid w:val="00FD1A1D"/>
    <w:rsid w:val="00FD1FD1"/>
    <w:rsid w:val="00FD4DB8"/>
    <w:rsid w:val="00FD59E9"/>
    <w:rsid w:val="00FD61C5"/>
    <w:rsid w:val="00FD669F"/>
    <w:rsid w:val="00FD6730"/>
    <w:rsid w:val="00FD77C7"/>
    <w:rsid w:val="00FD7A88"/>
    <w:rsid w:val="00FE09E4"/>
    <w:rsid w:val="00FE1368"/>
    <w:rsid w:val="00FE43E7"/>
    <w:rsid w:val="00FE5D7D"/>
    <w:rsid w:val="00FE6511"/>
    <w:rsid w:val="00FE67CB"/>
    <w:rsid w:val="00FF2923"/>
    <w:rsid w:val="00FF4D04"/>
    <w:rsid w:val="00FF5339"/>
    <w:rsid w:val="00FF59E5"/>
    <w:rsid w:val="00FF663C"/>
    <w:rsid w:val="00FF66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D34D29-4817-4842-8E91-25BF64FD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EF2"/>
  </w:style>
  <w:style w:type="paragraph" w:styleId="Ttulo1">
    <w:name w:val="heading 1"/>
    <w:basedOn w:val="Normal"/>
    <w:next w:val="Normal"/>
    <w:link w:val="Ttulo1Car"/>
    <w:uiPriority w:val="9"/>
    <w:qFormat/>
    <w:rsid w:val="009243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1C02"/>
    <w:pPr>
      <w:ind w:left="720"/>
      <w:contextualSpacing/>
    </w:pPr>
  </w:style>
  <w:style w:type="paragraph" w:styleId="Sinespaciado">
    <w:name w:val="No Spacing"/>
    <w:uiPriority w:val="1"/>
    <w:qFormat/>
    <w:rsid w:val="00046340"/>
    <w:pPr>
      <w:spacing w:after="0" w:line="240" w:lineRule="auto"/>
    </w:pPr>
    <w:rPr>
      <w:lang w:val="es-ES"/>
    </w:rPr>
  </w:style>
  <w:style w:type="table" w:styleId="Tablaconcuadrcula">
    <w:name w:val="Table Grid"/>
    <w:basedOn w:val="Tablanormal"/>
    <w:uiPriority w:val="39"/>
    <w:rsid w:val="00046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77E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7E37"/>
  </w:style>
  <w:style w:type="paragraph" w:styleId="Piedepgina">
    <w:name w:val="footer"/>
    <w:basedOn w:val="Normal"/>
    <w:link w:val="PiedepginaCar"/>
    <w:uiPriority w:val="99"/>
    <w:unhideWhenUsed/>
    <w:rsid w:val="00877E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7E37"/>
  </w:style>
  <w:style w:type="paragraph" w:styleId="Textodeglobo">
    <w:name w:val="Balloon Text"/>
    <w:basedOn w:val="Normal"/>
    <w:link w:val="TextodegloboCar"/>
    <w:uiPriority w:val="99"/>
    <w:semiHidden/>
    <w:unhideWhenUsed/>
    <w:rsid w:val="005845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5D3"/>
    <w:rPr>
      <w:rFonts w:ascii="Tahoma" w:hAnsi="Tahoma" w:cs="Tahoma"/>
      <w:sz w:val="16"/>
      <w:szCs w:val="16"/>
    </w:rPr>
  </w:style>
  <w:style w:type="character" w:customStyle="1" w:styleId="Ttulo1Car">
    <w:name w:val="Título 1 Car"/>
    <w:basedOn w:val="Fuentedeprrafopredeter"/>
    <w:link w:val="Ttulo1"/>
    <w:uiPriority w:val="9"/>
    <w:rsid w:val="009243BA"/>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331E2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331E28"/>
  </w:style>
  <w:style w:type="character" w:styleId="Hipervnculo">
    <w:name w:val="Hyperlink"/>
    <w:basedOn w:val="Fuentedeprrafopredeter"/>
    <w:uiPriority w:val="99"/>
    <w:unhideWhenUsed/>
    <w:rsid w:val="00331E28"/>
    <w:rPr>
      <w:color w:val="0000FF"/>
      <w:u w:val="single"/>
    </w:rPr>
  </w:style>
  <w:style w:type="paragraph" w:styleId="Textonotapie">
    <w:name w:val="footnote text"/>
    <w:basedOn w:val="Normal"/>
    <w:link w:val="TextonotapieCar"/>
    <w:uiPriority w:val="99"/>
    <w:semiHidden/>
    <w:unhideWhenUsed/>
    <w:rsid w:val="00F56BA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6BAA"/>
    <w:rPr>
      <w:sz w:val="20"/>
      <w:szCs w:val="20"/>
    </w:rPr>
  </w:style>
  <w:style w:type="character" w:styleId="Refdenotaalpie">
    <w:name w:val="footnote reference"/>
    <w:basedOn w:val="Fuentedeprrafopredeter"/>
    <w:semiHidden/>
    <w:unhideWhenUsed/>
    <w:rsid w:val="00F56BAA"/>
    <w:rPr>
      <w:vertAlign w:val="superscript"/>
    </w:rPr>
  </w:style>
  <w:style w:type="table" w:customStyle="1" w:styleId="TableNormal">
    <w:name w:val="Table Normal"/>
    <w:rsid w:val="00C422E9"/>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17671">
      <w:bodyDiv w:val="1"/>
      <w:marLeft w:val="0"/>
      <w:marRight w:val="0"/>
      <w:marTop w:val="0"/>
      <w:marBottom w:val="0"/>
      <w:divBdr>
        <w:top w:val="none" w:sz="0" w:space="0" w:color="auto"/>
        <w:left w:val="none" w:sz="0" w:space="0" w:color="auto"/>
        <w:bottom w:val="none" w:sz="0" w:space="0" w:color="auto"/>
        <w:right w:val="none" w:sz="0" w:space="0" w:color="auto"/>
      </w:divBdr>
    </w:div>
    <w:div w:id="184177103">
      <w:bodyDiv w:val="1"/>
      <w:marLeft w:val="0"/>
      <w:marRight w:val="0"/>
      <w:marTop w:val="0"/>
      <w:marBottom w:val="0"/>
      <w:divBdr>
        <w:top w:val="none" w:sz="0" w:space="0" w:color="auto"/>
        <w:left w:val="none" w:sz="0" w:space="0" w:color="auto"/>
        <w:bottom w:val="none" w:sz="0" w:space="0" w:color="auto"/>
        <w:right w:val="none" w:sz="0" w:space="0" w:color="auto"/>
      </w:divBdr>
    </w:div>
    <w:div w:id="195852651">
      <w:bodyDiv w:val="1"/>
      <w:marLeft w:val="0"/>
      <w:marRight w:val="0"/>
      <w:marTop w:val="0"/>
      <w:marBottom w:val="0"/>
      <w:divBdr>
        <w:top w:val="none" w:sz="0" w:space="0" w:color="auto"/>
        <w:left w:val="none" w:sz="0" w:space="0" w:color="auto"/>
        <w:bottom w:val="none" w:sz="0" w:space="0" w:color="auto"/>
        <w:right w:val="none" w:sz="0" w:space="0" w:color="auto"/>
      </w:divBdr>
    </w:div>
    <w:div w:id="348945934">
      <w:bodyDiv w:val="1"/>
      <w:marLeft w:val="0"/>
      <w:marRight w:val="0"/>
      <w:marTop w:val="0"/>
      <w:marBottom w:val="0"/>
      <w:divBdr>
        <w:top w:val="none" w:sz="0" w:space="0" w:color="auto"/>
        <w:left w:val="none" w:sz="0" w:space="0" w:color="auto"/>
        <w:bottom w:val="none" w:sz="0" w:space="0" w:color="auto"/>
        <w:right w:val="none" w:sz="0" w:space="0" w:color="auto"/>
      </w:divBdr>
    </w:div>
    <w:div w:id="522864652">
      <w:bodyDiv w:val="1"/>
      <w:marLeft w:val="0"/>
      <w:marRight w:val="0"/>
      <w:marTop w:val="0"/>
      <w:marBottom w:val="0"/>
      <w:divBdr>
        <w:top w:val="none" w:sz="0" w:space="0" w:color="auto"/>
        <w:left w:val="none" w:sz="0" w:space="0" w:color="auto"/>
        <w:bottom w:val="none" w:sz="0" w:space="0" w:color="auto"/>
        <w:right w:val="none" w:sz="0" w:space="0" w:color="auto"/>
      </w:divBdr>
    </w:div>
    <w:div w:id="545413669">
      <w:bodyDiv w:val="1"/>
      <w:marLeft w:val="0"/>
      <w:marRight w:val="0"/>
      <w:marTop w:val="0"/>
      <w:marBottom w:val="0"/>
      <w:divBdr>
        <w:top w:val="none" w:sz="0" w:space="0" w:color="auto"/>
        <w:left w:val="none" w:sz="0" w:space="0" w:color="auto"/>
        <w:bottom w:val="none" w:sz="0" w:space="0" w:color="auto"/>
        <w:right w:val="none" w:sz="0" w:space="0" w:color="auto"/>
      </w:divBdr>
    </w:div>
    <w:div w:id="669673417">
      <w:bodyDiv w:val="1"/>
      <w:marLeft w:val="0"/>
      <w:marRight w:val="0"/>
      <w:marTop w:val="0"/>
      <w:marBottom w:val="0"/>
      <w:divBdr>
        <w:top w:val="none" w:sz="0" w:space="0" w:color="auto"/>
        <w:left w:val="none" w:sz="0" w:space="0" w:color="auto"/>
        <w:bottom w:val="none" w:sz="0" w:space="0" w:color="auto"/>
        <w:right w:val="none" w:sz="0" w:space="0" w:color="auto"/>
      </w:divBdr>
    </w:div>
    <w:div w:id="866791772">
      <w:bodyDiv w:val="1"/>
      <w:marLeft w:val="0"/>
      <w:marRight w:val="0"/>
      <w:marTop w:val="0"/>
      <w:marBottom w:val="0"/>
      <w:divBdr>
        <w:top w:val="none" w:sz="0" w:space="0" w:color="auto"/>
        <w:left w:val="none" w:sz="0" w:space="0" w:color="auto"/>
        <w:bottom w:val="none" w:sz="0" w:space="0" w:color="auto"/>
        <w:right w:val="none" w:sz="0" w:space="0" w:color="auto"/>
      </w:divBdr>
    </w:div>
    <w:div w:id="883640218">
      <w:bodyDiv w:val="1"/>
      <w:marLeft w:val="0"/>
      <w:marRight w:val="0"/>
      <w:marTop w:val="0"/>
      <w:marBottom w:val="0"/>
      <w:divBdr>
        <w:top w:val="none" w:sz="0" w:space="0" w:color="auto"/>
        <w:left w:val="none" w:sz="0" w:space="0" w:color="auto"/>
        <w:bottom w:val="none" w:sz="0" w:space="0" w:color="auto"/>
        <w:right w:val="none" w:sz="0" w:space="0" w:color="auto"/>
      </w:divBdr>
    </w:div>
    <w:div w:id="928344939">
      <w:bodyDiv w:val="1"/>
      <w:marLeft w:val="0"/>
      <w:marRight w:val="0"/>
      <w:marTop w:val="0"/>
      <w:marBottom w:val="0"/>
      <w:divBdr>
        <w:top w:val="none" w:sz="0" w:space="0" w:color="auto"/>
        <w:left w:val="none" w:sz="0" w:space="0" w:color="auto"/>
        <w:bottom w:val="none" w:sz="0" w:space="0" w:color="auto"/>
        <w:right w:val="none" w:sz="0" w:space="0" w:color="auto"/>
      </w:divBdr>
    </w:div>
    <w:div w:id="1095396037">
      <w:bodyDiv w:val="1"/>
      <w:marLeft w:val="0"/>
      <w:marRight w:val="0"/>
      <w:marTop w:val="0"/>
      <w:marBottom w:val="0"/>
      <w:divBdr>
        <w:top w:val="none" w:sz="0" w:space="0" w:color="auto"/>
        <w:left w:val="none" w:sz="0" w:space="0" w:color="auto"/>
        <w:bottom w:val="none" w:sz="0" w:space="0" w:color="auto"/>
        <w:right w:val="none" w:sz="0" w:space="0" w:color="auto"/>
      </w:divBdr>
    </w:div>
    <w:div w:id="1438139624">
      <w:bodyDiv w:val="1"/>
      <w:marLeft w:val="0"/>
      <w:marRight w:val="0"/>
      <w:marTop w:val="0"/>
      <w:marBottom w:val="0"/>
      <w:divBdr>
        <w:top w:val="none" w:sz="0" w:space="0" w:color="auto"/>
        <w:left w:val="none" w:sz="0" w:space="0" w:color="auto"/>
        <w:bottom w:val="none" w:sz="0" w:space="0" w:color="auto"/>
        <w:right w:val="none" w:sz="0" w:space="0" w:color="auto"/>
      </w:divBdr>
    </w:div>
    <w:div w:id="1851603344">
      <w:bodyDiv w:val="1"/>
      <w:marLeft w:val="0"/>
      <w:marRight w:val="0"/>
      <w:marTop w:val="0"/>
      <w:marBottom w:val="0"/>
      <w:divBdr>
        <w:top w:val="none" w:sz="0" w:space="0" w:color="auto"/>
        <w:left w:val="none" w:sz="0" w:space="0" w:color="auto"/>
        <w:bottom w:val="none" w:sz="0" w:space="0" w:color="auto"/>
        <w:right w:val="none" w:sz="0" w:space="0" w:color="auto"/>
      </w:divBdr>
    </w:div>
    <w:div w:id="1898665547">
      <w:bodyDiv w:val="1"/>
      <w:marLeft w:val="0"/>
      <w:marRight w:val="0"/>
      <w:marTop w:val="0"/>
      <w:marBottom w:val="0"/>
      <w:divBdr>
        <w:top w:val="none" w:sz="0" w:space="0" w:color="auto"/>
        <w:left w:val="none" w:sz="0" w:space="0" w:color="auto"/>
        <w:bottom w:val="none" w:sz="0" w:space="0" w:color="auto"/>
        <w:right w:val="none" w:sz="0" w:space="0" w:color="auto"/>
      </w:divBdr>
    </w:div>
    <w:div w:id="20149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who.int/violence_injury_prevention/violence/inspire/INSPIRE_ExecutiveSummary_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ogle.com.co/url?sa=i&amp;rct=j&amp;q=&amp;esrc=s&amp;source=images&amp;cd=&amp;cad=rja&amp;uact=8&amp;ved=0ahUKEwiHqo7OyMrVAhUF3WMKHUorBVEQjRwIBw&amp;url=http://revistaplenaria.blogspot.com/p/agenda-semanal-caara-de-prepresentantes.html&amp;psig=AFQjCNElNOYUteB8CtGeSpI4YxDdDo4HNQ&amp;ust=150238237040870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C1B6A-5AF2-4650-8ABA-01266A79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7813</Words>
  <Characters>42974</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Javier Eduardo Figueroa Pulido</cp:lastModifiedBy>
  <cp:revision>2</cp:revision>
  <cp:lastPrinted>2017-08-09T17:10:00Z</cp:lastPrinted>
  <dcterms:created xsi:type="dcterms:W3CDTF">2017-08-10T16:06:00Z</dcterms:created>
  <dcterms:modified xsi:type="dcterms:W3CDTF">2017-08-10T16:06:00Z</dcterms:modified>
</cp:coreProperties>
</file>